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1A49" w14:textId="0D998F56" w:rsidR="00972C43" w:rsidRDefault="003045CC" w:rsidP="00FA487B">
      <w:pPr>
        <w:jc w:val="center"/>
        <w:rPr>
          <w:rFonts w:ascii="Times New Roman" w:hAnsi="Times New Roman" w:cs="Times New Roman"/>
          <w:sz w:val="32"/>
          <w:szCs w:val="32"/>
        </w:rPr>
      </w:pPr>
      <w:r>
        <w:rPr>
          <w:rFonts w:ascii="Times New Roman" w:hAnsi="Times New Roman" w:cs="Times New Roman"/>
          <w:b/>
          <w:bCs/>
          <w:sz w:val="32"/>
          <w:szCs w:val="32"/>
        </w:rPr>
        <w:t>Texas</w:t>
      </w:r>
      <w:r w:rsidR="0034142B">
        <w:rPr>
          <w:rFonts w:ascii="Times New Roman" w:hAnsi="Times New Roman" w:cs="Times New Roman"/>
          <w:b/>
          <w:bCs/>
          <w:sz w:val="32"/>
          <w:szCs w:val="32"/>
        </w:rPr>
        <w:t xml:space="preserve"> </w:t>
      </w:r>
      <w:r w:rsidR="00FA487B" w:rsidRPr="00FA487B">
        <w:rPr>
          <w:rFonts w:ascii="Times New Roman" w:hAnsi="Times New Roman" w:cs="Times New Roman"/>
          <w:b/>
          <w:bCs/>
          <w:sz w:val="32"/>
          <w:szCs w:val="32"/>
        </w:rPr>
        <w:t>Condominium Data and Statistics</w:t>
      </w:r>
    </w:p>
    <w:p w14:paraId="06BF1AC5" w14:textId="77777777" w:rsidR="00FA487B" w:rsidRDefault="00FA487B" w:rsidP="00FA487B">
      <w:pPr>
        <w:rPr>
          <w:rFonts w:ascii="Times New Roman" w:hAnsi="Times New Roman" w:cs="Times New Roman"/>
          <w:sz w:val="24"/>
          <w:szCs w:val="24"/>
        </w:rPr>
      </w:pPr>
    </w:p>
    <w:p w14:paraId="38E4EA19" w14:textId="5C8E2D62" w:rsidR="00FA487B" w:rsidRDefault="00294072" w:rsidP="00FA487B">
      <w:pPr>
        <w:rPr>
          <w:rFonts w:ascii="Times New Roman" w:hAnsi="Times New Roman" w:cs="Times New Roman"/>
          <w:sz w:val="24"/>
          <w:szCs w:val="24"/>
        </w:rPr>
      </w:pPr>
      <w:r>
        <w:rPr>
          <w:rFonts w:ascii="Times New Roman" w:hAnsi="Times New Roman" w:cs="Times New Roman"/>
          <w:sz w:val="24"/>
          <w:szCs w:val="24"/>
        </w:rPr>
        <w:t>Per the American Housing Survey, there</w:t>
      </w:r>
      <w:r w:rsidR="00FA487B">
        <w:rPr>
          <w:rFonts w:ascii="Times New Roman" w:hAnsi="Times New Roman" w:cs="Times New Roman"/>
          <w:sz w:val="24"/>
          <w:szCs w:val="24"/>
        </w:rPr>
        <w:t xml:space="preserve"> are an estimated </w:t>
      </w:r>
      <w:r w:rsidR="003045CC">
        <w:rPr>
          <w:rFonts w:ascii="Times New Roman" w:hAnsi="Times New Roman" w:cs="Times New Roman"/>
          <w:sz w:val="24"/>
          <w:szCs w:val="24"/>
        </w:rPr>
        <w:t>350,300</w:t>
      </w:r>
      <w:r w:rsidR="005A4A42">
        <w:rPr>
          <w:rFonts w:ascii="Times New Roman" w:hAnsi="Times New Roman" w:cs="Times New Roman"/>
          <w:sz w:val="24"/>
          <w:szCs w:val="24"/>
        </w:rPr>
        <w:t xml:space="preserve"> </w:t>
      </w:r>
      <w:r w:rsidR="00FA487B">
        <w:rPr>
          <w:rFonts w:ascii="Times New Roman" w:hAnsi="Times New Roman" w:cs="Times New Roman"/>
          <w:sz w:val="24"/>
          <w:szCs w:val="24"/>
        </w:rPr>
        <w:t xml:space="preserve">condo units in </w:t>
      </w:r>
      <w:r w:rsidR="003045CC">
        <w:rPr>
          <w:rFonts w:ascii="Times New Roman" w:hAnsi="Times New Roman" w:cs="Times New Roman"/>
          <w:sz w:val="24"/>
          <w:szCs w:val="24"/>
        </w:rPr>
        <w:t>Texas</w:t>
      </w:r>
      <w:r w:rsidR="00FA487B">
        <w:rPr>
          <w:rFonts w:ascii="Times New Roman" w:hAnsi="Times New Roman" w:cs="Times New Roman"/>
          <w:sz w:val="24"/>
          <w:szCs w:val="24"/>
        </w:rPr>
        <w:t xml:space="preserve">, out of an estimated housing stock of </w:t>
      </w:r>
      <w:r w:rsidR="003045CC">
        <w:rPr>
          <w:rFonts w:ascii="Times New Roman" w:hAnsi="Times New Roman" w:cs="Times New Roman"/>
          <w:sz w:val="24"/>
          <w:szCs w:val="24"/>
        </w:rPr>
        <w:t>10,115,800</w:t>
      </w:r>
      <w:r w:rsidR="00FA487B">
        <w:rPr>
          <w:rFonts w:ascii="Times New Roman" w:hAnsi="Times New Roman" w:cs="Times New Roman"/>
          <w:sz w:val="24"/>
          <w:szCs w:val="24"/>
        </w:rPr>
        <w:t xml:space="preserve"> units in total</w:t>
      </w:r>
      <w:r w:rsidR="00851A4C">
        <w:rPr>
          <w:rFonts w:ascii="Times New Roman" w:hAnsi="Times New Roman" w:cs="Times New Roman"/>
          <w:sz w:val="24"/>
          <w:szCs w:val="24"/>
        </w:rPr>
        <w:t>.</w:t>
      </w:r>
      <w:r w:rsidR="00941376">
        <w:rPr>
          <w:rFonts w:ascii="Times New Roman" w:hAnsi="Times New Roman" w:cs="Times New Roman"/>
          <w:sz w:val="24"/>
          <w:szCs w:val="24"/>
        </w:rPr>
        <w:t xml:space="preserve"> </w:t>
      </w:r>
      <w:r w:rsidR="006D022A">
        <w:rPr>
          <w:rFonts w:ascii="Times New Roman" w:hAnsi="Times New Roman" w:cs="Times New Roman"/>
          <w:sz w:val="24"/>
          <w:szCs w:val="24"/>
        </w:rPr>
        <w:t>T</w:t>
      </w:r>
      <w:r w:rsidR="00780E32">
        <w:rPr>
          <w:rFonts w:ascii="Times New Roman" w:hAnsi="Times New Roman" w:cs="Times New Roman"/>
          <w:sz w:val="24"/>
          <w:szCs w:val="24"/>
        </w:rPr>
        <w:t>he</w:t>
      </w:r>
      <w:r w:rsidR="005A4A42">
        <w:rPr>
          <w:rFonts w:ascii="Times New Roman" w:hAnsi="Times New Roman" w:cs="Times New Roman"/>
          <w:sz w:val="24"/>
          <w:szCs w:val="24"/>
        </w:rPr>
        <w:t xml:space="preserve"> </w:t>
      </w:r>
      <w:r w:rsidR="003045CC">
        <w:rPr>
          <w:rFonts w:ascii="Times New Roman" w:hAnsi="Times New Roman" w:cs="Times New Roman"/>
          <w:sz w:val="24"/>
          <w:szCs w:val="24"/>
        </w:rPr>
        <w:t>Austin</w:t>
      </w:r>
      <w:r w:rsidR="008C19CD">
        <w:rPr>
          <w:rFonts w:ascii="Times New Roman" w:hAnsi="Times New Roman" w:cs="Times New Roman"/>
          <w:sz w:val="24"/>
          <w:szCs w:val="24"/>
        </w:rPr>
        <w:t>-Round Rock</w:t>
      </w:r>
      <w:r w:rsidR="003045CC">
        <w:rPr>
          <w:rFonts w:ascii="Times New Roman" w:hAnsi="Times New Roman" w:cs="Times New Roman"/>
          <w:sz w:val="24"/>
          <w:szCs w:val="24"/>
        </w:rPr>
        <w:t>, Dallas</w:t>
      </w:r>
      <w:r w:rsidR="001A7AD0">
        <w:rPr>
          <w:rFonts w:ascii="Times New Roman" w:hAnsi="Times New Roman" w:cs="Times New Roman"/>
          <w:sz w:val="24"/>
          <w:szCs w:val="24"/>
        </w:rPr>
        <w:t>-Fort Worth-Arlington</w:t>
      </w:r>
      <w:r w:rsidR="003045CC">
        <w:rPr>
          <w:rFonts w:ascii="Times New Roman" w:hAnsi="Times New Roman" w:cs="Times New Roman"/>
          <w:sz w:val="24"/>
          <w:szCs w:val="24"/>
        </w:rPr>
        <w:t>, Fort Worth-Arlington, and Hous</w:t>
      </w:r>
      <w:r>
        <w:rPr>
          <w:rFonts w:ascii="Times New Roman" w:hAnsi="Times New Roman" w:cs="Times New Roman"/>
          <w:sz w:val="24"/>
          <w:szCs w:val="24"/>
        </w:rPr>
        <w:t>t</w:t>
      </w:r>
      <w:r w:rsidR="003045CC">
        <w:rPr>
          <w:rFonts w:ascii="Times New Roman" w:hAnsi="Times New Roman" w:cs="Times New Roman"/>
          <w:sz w:val="24"/>
          <w:szCs w:val="24"/>
        </w:rPr>
        <w:t>on</w:t>
      </w:r>
      <w:r w:rsidR="00EE0C3F">
        <w:rPr>
          <w:rFonts w:ascii="Times New Roman" w:hAnsi="Times New Roman" w:cs="Times New Roman"/>
          <w:sz w:val="24"/>
          <w:szCs w:val="24"/>
        </w:rPr>
        <w:t>-The Woodlands-Sugarland</w:t>
      </w:r>
      <w:r w:rsidR="005A4A42">
        <w:rPr>
          <w:rFonts w:ascii="Times New Roman" w:hAnsi="Times New Roman" w:cs="Times New Roman"/>
          <w:sz w:val="24"/>
          <w:szCs w:val="24"/>
        </w:rPr>
        <w:t xml:space="preserve"> Metropolitan Areas are counted </w:t>
      </w:r>
      <w:r w:rsidR="00CF5B19">
        <w:rPr>
          <w:rFonts w:ascii="Times New Roman" w:hAnsi="Times New Roman" w:cs="Times New Roman"/>
          <w:sz w:val="24"/>
          <w:szCs w:val="24"/>
        </w:rPr>
        <w:t>separately from</w:t>
      </w:r>
      <w:r w:rsidR="005A4A42">
        <w:rPr>
          <w:rFonts w:ascii="Times New Roman" w:hAnsi="Times New Roman" w:cs="Times New Roman"/>
          <w:sz w:val="24"/>
          <w:szCs w:val="24"/>
        </w:rPr>
        <w:t xml:space="preserve"> the rest of the </w:t>
      </w:r>
      <w:r w:rsidR="00C62C28">
        <w:rPr>
          <w:rFonts w:ascii="Times New Roman" w:hAnsi="Times New Roman" w:cs="Times New Roman"/>
          <w:sz w:val="24"/>
          <w:szCs w:val="24"/>
        </w:rPr>
        <w:t>State</w:t>
      </w:r>
      <w:r w:rsidR="005A4A42">
        <w:rPr>
          <w:rFonts w:ascii="Times New Roman" w:hAnsi="Times New Roman" w:cs="Times New Roman"/>
          <w:sz w:val="24"/>
          <w:szCs w:val="24"/>
        </w:rPr>
        <w:t>.</w:t>
      </w:r>
    </w:p>
    <w:p w14:paraId="556FFAA4" w14:textId="77777777" w:rsidR="00235B6F" w:rsidRDefault="00235B6F" w:rsidP="00FA487B">
      <w:pPr>
        <w:rPr>
          <w:rFonts w:ascii="Times New Roman" w:hAnsi="Times New Roman" w:cs="Times New Roman"/>
          <w:sz w:val="24"/>
          <w:szCs w:val="24"/>
        </w:rPr>
      </w:pPr>
    </w:p>
    <w:p w14:paraId="46134626" w14:textId="77777777" w:rsidR="00235B6F" w:rsidRDefault="00235B6F" w:rsidP="00235B6F">
      <w:pPr>
        <w:rPr>
          <w:rFonts w:ascii="Times New Roman" w:hAnsi="Times New Roman" w:cs="Times New Roman"/>
          <w:sz w:val="24"/>
          <w:szCs w:val="24"/>
        </w:rPr>
      </w:pPr>
      <w:r>
        <w:rPr>
          <w:rFonts w:ascii="Times New Roman" w:hAnsi="Times New Roman" w:cs="Times New Roman"/>
          <w:sz w:val="24"/>
          <w:szCs w:val="24"/>
        </w:rPr>
        <w:t xml:space="preserve">Note:  Please note that due to data sources, different methodologies, and data limitations from the American Housing Survey, the information in this report does not exactly match published Foundation for Community Association Research (FCAR) data. FCAR’s data is more comprehensive using many data sources to estimate community association data and statistics. FCAR’s data, including full statistics for each state, please visit- </w:t>
      </w:r>
      <w:hyperlink r:id="rId10" w:history="1">
        <w:r>
          <w:rPr>
            <w:rStyle w:val="Hyperlink"/>
            <w:rFonts w:ascii="Times New Roman" w:hAnsi="Times New Roman" w:cs="Times New Roman"/>
            <w:sz w:val="24"/>
            <w:szCs w:val="24"/>
          </w:rPr>
          <w:t>https://foundation.caionline.org/publications/factbook/</w:t>
        </w:r>
      </w:hyperlink>
      <w:r>
        <w:rPr>
          <w:rFonts w:ascii="Times New Roman" w:hAnsi="Times New Roman" w:cs="Times New Roman"/>
          <w:sz w:val="24"/>
          <w:szCs w:val="24"/>
        </w:rPr>
        <w:t xml:space="preserve">. </w:t>
      </w:r>
    </w:p>
    <w:p w14:paraId="1AB894F3" w14:textId="3DD985B7" w:rsidR="00FA487B" w:rsidRDefault="00FA487B" w:rsidP="00FA487B">
      <w:pPr>
        <w:rPr>
          <w:rFonts w:ascii="Times New Roman" w:hAnsi="Times New Roman" w:cs="Times New Roman"/>
          <w:sz w:val="24"/>
          <w:szCs w:val="24"/>
        </w:rPr>
      </w:pPr>
    </w:p>
    <w:p w14:paraId="5CEB9332" w14:textId="6599FA19" w:rsidR="000A17C9" w:rsidRPr="00F628FA" w:rsidRDefault="000A17C9" w:rsidP="00FA487B">
      <w:pPr>
        <w:rPr>
          <w:rFonts w:ascii="Times New Roman" w:hAnsi="Times New Roman" w:cs="Times New Roman"/>
          <w:b/>
          <w:bCs/>
          <w:sz w:val="24"/>
          <w:szCs w:val="24"/>
        </w:rPr>
      </w:pPr>
      <w:r w:rsidRPr="00F628FA">
        <w:rPr>
          <w:rFonts w:ascii="Times New Roman" w:hAnsi="Times New Roman" w:cs="Times New Roman"/>
          <w:b/>
          <w:bCs/>
          <w:sz w:val="24"/>
          <w:szCs w:val="24"/>
        </w:rPr>
        <w:t>Data from the American Housing Survey:</w:t>
      </w:r>
    </w:p>
    <w:p w14:paraId="6F4CDFCA" w14:textId="4C4AB1FB" w:rsidR="006B21B7" w:rsidRDefault="008C19CD" w:rsidP="00FA48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According to the 2013 American Housing Survey Estimate, </w:t>
      </w:r>
      <w:r w:rsidR="00F20AF0">
        <w:rPr>
          <w:rFonts w:ascii="Times New Roman" w:hAnsi="Times New Roman" w:cs="Times New Roman"/>
          <w:sz w:val="24"/>
          <w:szCs w:val="24"/>
        </w:rPr>
        <w:t>around 15,300 condo units in the Austin-Round Rock Metropolitan Area, or 62.96% of condo units, were built before 1990.</w:t>
      </w:r>
    </w:p>
    <w:p w14:paraId="689ABCAD" w14:textId="4B7519D5" w:rsidR="00F42A37" w:rsidRDefault="00F42A37" w:rsidP="00FA48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Approximately 59,100 condo units in the Dallas-Fort Worth-Arlington Metropolitan Area, or 41.04% of condo units, were built between 1970 and 1989.</w:t>
      </w:r>
    </w:p>
    <w:p w14:paraId="666CD26C" w14:textId="15CBA523" w:rsidR="00B67968" w:rsidRDefault="00B67968" w:rsidP="00FA48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Per the 2011 American Housing Survey Estimate, about 8,100 condo units in the Fort Worth-Arlington Metropolitan Area, or approximately 72.32% of condo units, were built before 1990.</w:t>
      </w:r>
    </w:p>
    <w:p w14:paraId="408AEA3C" w14:textId="4418A0AE" w:rsidR="007B4C6D" w:rsidRPr="0013717C" w:rsidRDefault="007B4C6D" w:rsidP="00FA487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Approximately 46,800 condo units in the Houston-The Woodlands-Sugarland Metropolitan Area, or around 48.09% of condo units, were built between 1970 and 1989.</w:t>
      </w:r>
    </w:p>
    <w:p w14:paraId="18F9AFCA" w14:textId="77777777" w:rsidR="000A17C9" w:rsidRDefault="000A17C9" w:rsidP="00FA487B">
      <w:pPr>
        <w:rPr>
          <w:rFonts w:ascii="Times New Roman" w:hAnsi="Times New Roman" w:cs="Times New Roman"/>
          <w:sz w:val="24"/>
          <w:szCs w:val="24"/>
        </w:rPr>
      </w:pPr>
    </w:p>
    <w:tbl>
      <w:tblPr>
        <w:tblW w:w="8729" w:type="dxa"/>
        <w:jc w:val="center"/>
        <w:tblCellMar>
          <w:left w:w="0" w:type="dxa"/>
          <w:right w:w="0" w:type="dxa"/>
        </w:tblCellMar>
        <w:tblLook w:val="04A0" w:firstRow="1" w:lastRow="0" w:firstColumn="1" w:lastColumn="0" w:noHBand="0" w:noVBand="1"/>
      </w:tblPr>
      <w:tblGrid>
        <w:gridCol w:w="7770"/>
        <w:gridCol w:w="1580"/>
      </w:tblGrid>
      <w:tr w:rsidR="00FA487B" w:rsidRPr="002E24C9" w14:paraId="4E0255FA" w14:textId="77777777" w:rsidTr="006B21B7">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0380743C" w14:textId="065A5FFD" w:rsidR="00FA487B" w:rsidRPr="002E24C9" w:rsidRDefault="00FA487B" w:rsidP="00B7614B">
            <w:pPr>
              <w:rPr>
                <w:rFonts w:eastAsia="Times New Roman" w:cstheme="minorHAnsi"/>
                <w:b/>
                <w:bCs/>
                <w:color w:val="000000"/>
                <w:sz w:val="24"/>
                <w:szCs w:val="24"/>
              </w:rPr>
            </w:pPr>
            <w:r w:rsidRPr="002E24C9">
              <w:rPr>
                <w:rFonts w:eastAsia="Times New Roman" w:cstheme="minorHAnsi"/>
                <w:b/>
                <w:bCs/>
                <w:color w:val="000000"/>
                <w:sz w:val="24"/>
                <w:szCs w:val="24"/>
              </w:rPr>
              <w:t xml:space="preserve">Total Condo Units in </w:t>
            </w:r>
            <w:r w:rsidR="00780E32">
              <w:rPr>
                <w:rFonts w:eastAsia="Times New Roman" w:cstheme="minorHAnsi"/>
                <w:b/>
                <w:bCs/>
                <w:color w:val="000000"/>
                <w:sz w:val="24"/>
                <w:szCs w:val="24"/>
              </w:rPr>
              <w:t>State</w:t>
            </w:r>
            <w:r w:rsidR="008656E3">
              <w:rPr>
                <w:rFonts w:eastAsia="Times New Roman" w:cstheme="minorHAnsi"/>
                <w:b/>
                <w:bCs/>
                <w:color w:val="000000"/>
                <w:sz w:val="24"/>
                <w:szCs w:val="24"/>
              </w:rPr>
              <w:t xml:space="preserve"> </w:t>
            </w:r>
            <w:r w:rsidR="00596F84">
              <w:rPr>
                <w:rFonts w:eastAsia="Times New Roman" w:cstheme="minorHAnsi"/>
                <w:b/>
                <w:bCs/>
                <w:color w:val="000000"/>
                <w:sz w:val="24"/>
                <w:szCs w:val="24"/>
              </w:rPr>
              <w:t xml:space="preserve">(Excluding </w:t>
            </w:r>
            <w:r w:rsidR="000659F0">
              <w:rPr>
                <w:rFonts w:eastAsia="Times New Roman" w:cstheme="minorHAnsi"/>
                <w:b/>
                <w:bCs/>
                <w:color w:val="000000"/>
                <w:sz w:val="24"/>
                <w:szCs w:val="24"/>
              </w:rPr>
              <w:t>Austin, Dallas, Fort Worth-Arlington, Houston</w:t>
            </w:r>
            <w:r w:rsidR="00596F84">
              <w:rPr>
                <w:rFonts w:eastAsia="Times New Roman" w:cstheme="minorHAnsi"/>
                <w:b/>
                <w:bCs/>
                <w:color w:val="000000"/>
                <w:sz w:val="24"/>
                <w:szCs w:val="24"/>
              </w:rPr>
              <w:t>)</w:t>
            </w:r>
          </w:p>
        </w:tc>
        <w:tc>
          <w:tcPr>
            <w:tcW w:w="1703" w:type="dxa"/>
            <w:tcBorders>
              <w:top w:val="single" w:sz="4" w:space="0" w:color="auto"/>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71F7E468" w14:textId="4B938477" w:rsidR="00FA487B" w:rsidRPr="002E24C9" w:rsidRDefault="00C62C28" w:rsidP="00B7614B">
            <w:pPr>
              <w:jc w:val="right"/>
              <w:rPr>
                <w:rFonts w:eastAsia="Times New Roman" w:cstheme="minorHAnsi"/>
                <w:b/>
                <w:bCs/>
                <w:color w:val="000000"/>
                <w:sz w:val="24"/>
                <w:szCs w:val="24"/>
              </w:rPr>
            </w:pPr>
            <w:r>
              <w:rPr>
                <w:rFonts w:eastAsia="Times New Roman" w:cstheme="minorHAnsi"/>
                <w:b/>
                <w:bCs/>
                <w:color w:val="000000"/>
                <w:sz w:val="24"/>
                <w:szCs w:val="24"/>
              </w:rPr>
              <w:t>222,100</w:t>
            </w:r>
          </w:p>
        </w:tc>
      </w:tr>
      <w:tr w:rsidR="00B204AA" w:rsidRPr="002E24C9" w14:paraId="067EA85C" w14:textId="77777777" w:rsidTr="006B21B7">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2BA945" w14:textId="7C4A115A" w:rsidR="00B204AA" w:rsidRDefault="00B204AA" w:rsidP="00B7614B">
            <w:pPr>
              <w:rPr>
                <w:rFonts w:eastAsia="Times New Roman" w:cstheme="minorHAnsi"/>
                <w:color w:val="000000"/>
                <w:sz w:val="24"/>
                <w:szCs w:val="24"/>
              </w:rPr>
            </w:pPr>
            <w:r>
              <w:rPr>
                <w:rFonts w:eastAsia="Times New Roman" w:cstheme="minorHAnsi"/>
                <w:color w:val="000000"/>
                <w:sz w:val="24"/>
                <w:szCs w:val="24"/>
              </w:rPr>
              <w:t xml:space="preserve">Owner-Occupied </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097949" w14:textId="23FC3523" w:rsidR="00B204AA" w:rsidRDefault="00294072" w:rsidP="00B7614B">
            <w:pPr>
              <w:jc w:val="right"/>
              <w:rPr>
                <w:rFonts w:eastAsia="Times New Roman" w:cstheme="minorHAnsi"/>
                <w:color w:val="000000"/>
                <w:sz w:val="24"/>
                <w:szCs w:val="24"/>
              </w:rPr>
            </w:pPr>
            <w:r>
              <w:rPr>
                <w:rFonts w:eastAsia="Times New Roman" w:cstheme="minorHAnsi"/>
                <w:color w:val="000000"/>
                <w:sz w:val="24"/>
                <w:szCs w:val="24"/>
              </w:rPr>
              <w:t>135,900</w:t>
            </w:r>
          </w:p>
        </w:tc>
      </w:tr>
      <w:tr w:rsidR="00C62C28" w:rsidRPr="00C62C28" w14:paraId="53D9BAC1" w14:textId="77777777" w:rsidTr="006B21B7">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38257636" w14:textId="1F630AFD" w:rsidR="00C62C28" w:rsidRPr="00C62C28" w:rsidRDefault="00C62C28" w:rsidP="00B7614B">
            <w:pPr>
              <w:rPr>
                <w:rFonts w:eastAsia="Times New Roman" w:cstheme="minorHAnsi"/>
                <w:b/>
                <w:bCs/>
                <w:color w:val="000000"/>
                <w:sz w:val="24"/>
                <w:szCs w:val="24"/>
              </w:rPr>
            </w:pPr>
            <w:r w:rsidRPr="00C62C28">
              <w:rPr>
                <w:rFonts w:eastAsia="Times New Roman" w:cstheme="minorHAnsi"/>
                <w:b/>
                <w:bCs/>
                <w:color w:val="000000"/>
                <w:sz w:val="24"/>
                <w:szCs w:val="24"/>
              </w:rPr>
              <w:t>Member of Condo Association</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1034C798" w14:textId="5FAE6B14" w:rsidR="00C62C28" w:rsidRPr="00C62C28" w:rsidRDefault="00294072" w:rsidP="00B7614B">
            <w:pPr>
              <w:jc w:val="right"/>
              <w:rPr>
                <w:rFonts w:eastAsia="Times New Roman" w:cstheme="minorHAnsi"/>
                <w:b/>
                <w:bCs/>
                <w:color w:val="000000"/>
                <w:sz w:val="24"/>
                <w:szCs w:val="24"/>
              </w:rPr>
            </w:pPr>
            <w:r>
              <w:rPr>
                <w:rFonts w:eastAsia="Times New Roman" w:cstheme="minorHAnsi"/>
                <w:b/>
                <w:bCs/>
                <w:color w:val="000000"/>
                <w:sz w:val="24"/>
                <w:szCs w:val="24"/>
              </w:rPr>
              <w:t>156,500</w:t>
            </w:r>
          </w:p>
        </w:tc>
      </w:tr>
      <w:tr w:rsidR="00C62C28" w:rsidRPr="00250057" w14:paraId="31D08A74" w14:textId="77777777" w:rsidTr="006B21B7">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4116A7A" w14:textId="3A5BD01B" w:rsidR="00C62C28" w:rsidRDefault="00C62C28" w:rsidP="00B7614B">
            <w:pPr>
              <w:rPr>
                <w:rFonts w:eastAsia="Times New Roman" w:cstheme="minorHAnsi"/>
                <w:color w:val="000000"/>
                <w:sz w:val="24"/>
                <w:szCs w:val="24"/>
              </w:rPr>
            </w:pPr>
            <w:r>
              <w:rPr>
                <w:rFonts w:eastAsia="Times New Roman" w:cstheme="minorHAnsi"/>
                <w:color w:val="000000"/>
                <w:sz w:val="24"/>
                <w:szCs w:val="24"/>
              </w:rPr>
              <w:t>Member of HOA and Condo Association</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B2E7F25" w14:textId="2B047284" w:rsidR="00C62C28" w:rsidRDefault="00294072" w:rsidP="00B7614B">
            <w:pPr>
              <w:jc w:val="right"/>
              <w:rPr>
                <w:rFonts w:eastAsia="Times New Roman" w:cstheme="minorHAnsi"/>
                <w:color w:val="000000"/>
                <w:sz w:val="24"/>
                <w:szCs w:val="24"/>
              </w:rPr>
            </w:pPr>
            <w:r>
              <w:rPr>
                <w:rFonts w:eastAsia="Times New Roman" w:cstheme="minorHAnsi"/>
                <w:color w:val="000000"/>
                <w:sz w:val="24"/>
                <w:szCs w:val="24"/>
              </w:rPr>
              <w:t>177,500</w:t>
            </w:r>
          </w:p>
        </w:tc>
      </w:tr>
      <w:tr w:rsidR="008656E3" w:rsidRPr="00250057" w14:paraId="3C0D6C09" w14:textId="77777777" w:rsidTr="006B21B7">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10701EAB" w14:textId="6CB05952" w:rsidR="008656E3" w:rsidRPr="00AC108F" w:rsidRDefault="008C19CD" w:rsidP="00B7614B">
            <w:pPr>
              <w:rPr>
                <w:rFonts w:eastAsia="Times New Roman" w:cstheme="minorHAnsi"/>
                <w:b/>
                <w:bCs/>
                <w:color w:val="000000"/>
                <w:sz w:val="24"/>
                <w:szCs w:val="24"/>
              </w:rPr>
            </w:pPr>
            <w:r>
              <w:rPr>
                <w:rFonts w:eastAsia="Times New Roman" w:cstheme="minorHAnsi"/>
                <w:b/>
                <w:bCs/>
                <w:color w:val="000000"/>
                <w:sz w:val="24"/>
                <w:szCs w:val="24"/>
              </w:rPr>
              <w:t>Austin-Round Rock</w:t>
            </w:r>
            <w:r w:rsidR="005A4A42">
              <w:rPr>
                <w:rFonts w:eastAsia="Times New Roman" w:cstheme="minorHAnsi"/>
                <w:b/>
                <w:bCs/>
                <w:color w:val="000000"/>
                <w:sz w:val="24"/>
                <w:szCs w:val="24"/>
              </w:rPr>
              <w:t xml:space="preserve"> Metro Area Condo Units</w:t>
            </w:r>
            <w:r w:rsidR="000A17C9">
              <w:rPr>
                <w:rFonts w:eastAsia="Times New Roman" w:cstheme="minorHAnsi"/>
                <w:b/>
                <w:bCs/>
                <w:color w:val="000000"/>
                <w:sz w:val="24"/>
                <w:szCs w:val="24"/>
              </w:rPr>
              <w:t xml:space="preserve"> (201</w:t>
            </w:r>
            <w:r>
              <w:rPr>
                <w:rFonts w:eastAsia="Times New Roman" w:cstheme="minorHAnsi"/>
                <w:b/>
                <w:bCs/>
                <w:color w:val="000000"/>
                <w:sz w:val="24"/>
                <w:szCs w:val="24"/>
              </w:rPr>
              <w:t xml:space="preserve">3 </w:t>
            </w:r>
            <w:r w:rsidR="000A17C9">
              <w:rPr>
                <w:rFonts w:eastAsia="Times New Roman" w:cstheme="minorHAnsi"/>
                <w:b/>
                <w:bCs/>
                <w:color w:val="000000"/>
                <w:sz w:val="24"/>
                <w:szCs w:val="24"/>
              </w:rPr>
              <w:t>Estimate)</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385550E6" w14:textId="5D0CB2DB" w:rsidR="008656E3" w:rsidRPr="00AC108F" w:rsidRDefault="008C19CD" w:rsidP="00B7614B">
            <w:pPr>
              <w:jc w:val="right"/>
              <w:rPr>
                <w:rFonts w:eastAsia="Times New Roman" w:cstheme="minorHAnsi"/>
                <w:b/>
                <w:bCs/>
                <w:color w:val="000000"/>
                <w:sz w:val="24"/>
                <w:szCs w:val="24"/>
              </w:rPr>
            </w:pPr>
            <w:r>
              <w:rPr>
                <w:rFonts w:eastAsia="Times New Roman" w:cstheme="minorHAnsi"/>
                <w:b/>
                <w:bCs/>
                <w:color w:val="000000"/>
                <w:sz w:val="24"/>
                <w:szCs w:val="24"/>
              </w:rPr>
              <w:t>24,300</w:t>
            </w:r>
          </w:p>
        </w:tc>
      </w:tr>
      <w:tr w:rsidR="008656E3" w:rsidRPr="00250057" w14:paraId="49A46839" w14:textId="77777777" w:rsidTr="006B21B7">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4D1A875D" w14:textId="740901BB" w:rsidR="008656E3" w:rsidRDefault="00AC108F" w:rsidP="00B7614B">
            <w:pPr>
              <w:rPr>
                <w:rFonts w:eastAsia="Times New Roman" w:cstheme="minorHAnsi"/>
                <w:color w:val="000000"/>
                <w:sz w:val="24"/>
                <w:szCs w:val="24"/>
              </w:rPr>
            </w:pPr>
            <w:r>
              <w:rPr>
                <w:rFonts w:eastAsia="Times New Roman" w:cstheme="minorHAnsi"/>
                <w:color w:val="000000"/>
                <w:sz w:val="24"/>
                <w:szCs w:val="24"/>
              </w:rPr>
              <w:lastRenderedPageBreak/>
              <w:t>Owner-Occupied</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DC7EB8E" w14:textId="299790B5" w:rsidR="008656E3" w:rsidRDefault="000659F0" w:rsidP="00B7614B">
            <w:pPr>
              <w:jc w:val="right"/>
              <w:rPr>
                <w:rFonts w:eastAsia="Times New Roman" w:cstheme="minorHAnsi"/>
                <w:color w:val="000000"/>
                <w:sz w:val="24"/>
                <w:szCs w:val="24"/>
              </w:rPr>
            </w:pPr>
            <w:r>
              <w:rPr>
                <w:rFonts w:eastAsia="Times New Roman" w:cstheme="minorHAnsi"/>
                <w:color w:val="000000"/>
                <w:sz w:val="24"/>
                <w:szCs w:val="24"/>
              </w:rPr>
              <w:t>49,300</w:t>
            </w:r>
          </w:p>
        </w:tc>
      </w:tr>
      <w:tr w:rsidR="005A4A42" w:rsidRPr="005A4A42" w14:paraId="20D5C1AF" w14:textId="77777777" w:rsidTr="006B21B7">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290EDB1F" w14:textId="48C15480" w:rsidR="005A4A42" w:rsidRPr="005A4A42" w:rsidRDefault="008C19CD" w:rsidP="00B7614B">
            <w:pPr>
              <w:rPr>
                <w:rFonts w:eastAsia="Times New Roman" w:cstheme="minorHAnsi"/>
                <w:b/>
                <w:bCs/>
                <w:color w:val="000000"/>
                <w:sz w:val="24"/>
                <w:szCs w:val="24"/>
              </w:rPr>
            </w:pPr>
            <w:r>
              <w:rPr>
                <w:rFonts w:eastAsia="Times New Roman" w:cstheme="minorHAnsi"/>
                <w:b/>
                <w:bCs/>
                <w:color w:val="000000"/>
                <w:sz w:val="24"/>
                <w:szCs w:val="24"/>
              </w:rPr>
              <w:t>Dallas</w:t>
            </w:r>
            <w:r w:rsidR="001A7AD0">
              <w:rPr>
                <w:rFonts w:eastAsia="Times New Roman" w:cstheme="minorHAnsi"/>
                <w:b/>
                <w:bCs/>
                <w:color w:val="000000"/>
                <w:sz w:val="24"/>
                <w:szCs w:val="24"/>
              </w:rPr>
              <w:t>-Fort Worth-Arlington</w:t>
            </w:r>
            <w:r>
              <w:rPr>
                <w:rFonts w:eastAsia="Times New Roman" w:cstheme="minorHAnsi"/>
                <w:b/>
                <w:bCs/>
                <w:color w:val="000000"/>
                <w:sz w:val="24"/>
                <w:szCs w:val="24"/>
              </w:rPr>
              <w:t xml:space="preserve"> </w:t>
            </w:r>
            <w:r w:rsidR="005A4A42" w:rsidRPr="005A4A42">
              <w:rPr>
                <w:rFonts w:eastAsia="Times New Roman" w:cstheme="minorHAnsi"/>
                <w:b/>
                <w:bCs/>
                <w:color w:val="000000"/>
                <w:sz w:val="24"/>
                <w:szCs w:val="24"/>
              </w:rPr>
              <w:t>Metro Area Condo Units</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39F90230" w14:textId="57A807AD" w:rsidR="005A4A42" w:rsidRPr="005A4A42" w:rsidRDefault="000659F0" w:rsidP="00B7614B">
            <w:pPr>
              <w:jc w:val="right"/>
              <w:rPr>
                <w:rFonts w:eastAsia="Times New Roman" w:cstheme="minorHAnsi"/>
                <w:b/>
                <w:bCs/>
                <w:color w:val="000000"/>
                <w:sz w:val="24"/>
                <w:szCs w:val="24"/>
              </w:rPr>
            </w:pPr>
            <w:r>
              <w:rPr>
                <w:rFonts w:eastAsia="Times New Roman" w:cstheme="minorHAnsi"/>
                <w:b/>
                <w:bCs/>
                <w:color w:val="000000"/>
                <w:sz w:val="24"/>
                <w:szCs w:val="24"/>
              </w:rPr>
              <w:t>144,00</w:t>
            </w:r>
          </w:p>
        </w:tc>
      </w:tr>
      <w:tr w:rsidR="005A4A42" w:rsidRPr="00250057" w14:paraId="48F874DD" w14:textId="77777777" w:rsidTr="006B21B7">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1CFA897" w14:textId="741BC97B" w:rsidR="005A4A42" w:rsidRDefault="005A4A42"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6835FA2" w14:textId="45D5F89B" w:rsidR="005A4A42" w:rsidRDefault="002A0D26" w:rsidP="00B7614B">
            <w:pPr>
              <w:jc w:val="right"/>
              <w:rPr>
                <w:rFonts w:eastAsia="Times New Roman" w:cstheme="minorHAnsi"/>
                <w:color w:val="000000"/>
                <w:sz w:val="24"/>
                <w:szCs w:val="24"/>
              </w:rPr>
            </w:pPr>
            <w:r>
              <w:rPr>
                <w:rFonts w:eastAsia="Times New Roman" w:cstheme="minorHAnsi"/>
                <w:color w:val="000000"/>
                <w:sz w:val="24"/>
                <w:szCs w:val="24"/>
              </w:rPr>
              <w:t>39,600</w:t>
            </w:r>
          </w:p>
        </w:tc>
      </w:tr>
      <w:tr w:rsidR="00C62C28" w:rsidRPr="003E3230" w14:paraId="4E43BCE4" w14:textId="77777777" w:rsidTr="003E3230">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52FFAF84" w14:textId="4D78B3B6" w:rsidR="00C62C28" w:rsidRPr="003E3230" w:rsidRDefault="008C19CD" w:rsidP="00B7614B">
            <w:pPr>
              <w:rPr>
                <w:rFonts w:eastAsia="Times New Roman" w:cstheme="minorHAnsi"/>
                <w:b/>
                <w:bCs/>
                <w:color w:val="000000"/>
                <w:sz w:val="24"/>
                <w:szCs w:val="24"/>
              </w:rPr>
            </w:pPr>
            <w:r>
              <w:rPr>
                <w:rFonts w:eastAsia="Times New Roman" w:cstheme="minorHAnsi"/>
                <w:b/>
                <w:bCs/>
                <w:color w:val="000000"/>
                <w:sz w:val="24"/>
                <w:szCs w:val="24"/>
              </w:rPr>
              <w:t>Fort Worth-Arlington</w:t>
            </w:r>
            <w:r w:rsidR="003E3230">
              <w:rPr>
                <w:rFonts w:eastAsia="Times New Roman" w:cstheme="minorHAnsi"/>
                <w:b/>
                <w:bCs/>
                <w:color w:val="000000"/>
                <w:sz w:val="24"/>
                <w:szCs w:val="24"/>
              </w:rPr>
              <w:t xml:space="preserve"> Metro Area Condo Units</w:t>
            </w:r>
            <w:r w:rsidR="00B67968">
              <w:rPr>
                <w:rFonts w:eastAsia="Times New Roman" w:cstheme="minorHAnsi"/>
                <w:b/>
                <w:bCs/>
                <w:color w:val="000000"/>
                <w:sz w:val="24"/>
                <w:szCs w:val="24"/>
              </w:rPr>
              <w:t xml:space="preserve"> (2011 Estimate)</w:t>
            </w:r>
          </w:p>
        </w:tc>
        <w:tc>
          <w:tcPr>
            <w:tcW w:w="1703" w:type="dxa"/>
            <w:tcBorders>
              <w:top w:val="single" w:sz="4" w:space="0" w:color="auto"/>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35FD376A" w14:textId="6BEEBCB9" w:rsidR="00C62C28" w:rsidRPr="003E3230" w:rsidRDefault="00B67968" w:rsidP="00B7614B">
            <w:pPr>
              <w:jc w:val="right"/>
              <w:rPr>
                <w:rFonts w:eastAsia="Times New Roman" w:cstheme="minorHAnsi"/>
                <w:b/>
                <w:bCs/>
                <w:color w:val="000000"/>
                <w:sz w:val="24"/>
                <w:szCs w:val="24"/>
              </w:rPr>
            </w:pPr>
            <w:r>
              <w:rPr>
                <w:rFonts w:eastAsia="Times New Roman" w:cstheme="minorHAnsi"/>
                <w:b/>
                <w:bCs/>
                <w:color w:val="000000"/>
                <w:sz w:val="24"/>
                <w:szCs w:val="24"/>
              </w:rPr>
              <w:t>11,200</w:t>
            </w:r>
          </w:p>
        </w:tc>
      </w:tr>
      <w:tr w:rsidR="00C62C28" w:rsidRPr="00250057" w14:paraId="4E1E9F99" w14:textId="77777777" w:rsidTr="006B21B7">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24B97E1F" w14:textId="527499A5" w:rsidR="00C62C28" w:rsidRDefault="00F628FA"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B2824F4" w14:textId="77E947D1" w:rsidR="00C62C28" w:rsidRDefault="00B67968" w:rsidP="00B7614B">
            <w:pPr>
              <w:jc w:val="right"/>
              <w:rPr>
                <w:rFonts w:eastAsia="Times New Roman" w:cstheme="minorHAnsi"/>
                <w:color w:val="000000"/>
                <w:sz w:val="24"/>
                <w:szCs w:val="24"/>
              </w:rPr>
            </w:pPr>
            <w:r>
              <w:rPr>
                <w:rFonts w:eastAsia="Times New Roman" w:cstheme="minorHAnsi"/>
                <w:color w:val="000000"/>
                <w:sz w:val="24"/>
                <w:szCs w:val="24"/>
              </w:rPr>
              <w:t>3,300</w:t>
            </w:r>
          </w:p>
        </w:tc>
      </w:tr>
      <w:tr w:rsidR="008C19CD" w:rsidRPr="008C19CD" w14:paraId="292E0FA8" w14:textId="77777777" w:rsidTr="008C19CD">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4068E2E8" w14:textId="4314E318" w:rsidR="008C19CD" w:rsidRPr="008C19CD" w:rsidRDefault="008C19CD" w:rsidP="00B7614B">
            <w:pPr>
              <w:rPr>
                <w:rFonts w:eastAsia="Times New Roman" w:cstheme="minorHAnsi"/>
                <w:b/>
                <w:bCs/>
                <w:color w:val="000000"/>
                <w:sz w:val="24"/>
                <w:szCs w:val="24"/>
              </w:rPr>
            </w:pPr>
            <w:r w:rsidRPr="008C19CD">
              <w:rPr>
                <w:rFonts w:eastAsia="Times New Roman" w:cstheme="minorHAnsi"/>
                <w:b/>
                <w:bCs/>
                <w:color w:val="000000"/>
                <w:sz w:val="24"/>
                <w:szCs w:val="24"/>
              </w:rPr>
              <w:t>Houston</w:t>
            </w:r>
            <w:r w:rsidR="00EE0C3F">
              <w:rPr>
                <w:rFonts w:eastAsia="Times New Roman" w:cstheme="minorHAnsi"/>
                <w:b/>
                <w:bCs/>
                <w:color w:val="000000"/>
                <w:sz w:val="24"/>
                <w:szCs w:val="24"/>
              </w:rPr>
              <w:t>-The Woodlands-Sugarland</w:t>
            </w:r>
            <w:r w:rsidRPr="008C19CD">
              <w:rPr>
                <w:rFonts w:eastAsia="Times New Roman" w:cstheme="minorHAnsi"/>
                <w:b/>
                <w:bCs/>
                <w:color w:val="000000"/>
                <w:sz w:val="24"/>
                <w:szCs w:val="24"/>
              </w:rPr>
              <w:t xml:space="preserve"> Metro Area Condo Units</w:t>
            </w:r>
          </w:p>
        </w:tc>
        <w:tc>
          <w:tcPr>
            <w:tcW w:w="1703" w:type="dxa"/>
            <w:tcBorders>
              <w:top w:val="single" w:sz="4" w:space="0" w:color="auto"/>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12D5A52B" w14:textId="62911D45" w:rsidR="008C19CD" w:rsidRPr="008C19CD" w:rsidRDefault="007B4C6D" w:rsidP="00B7614B">
            <w:pPr>
              <w:jc w:val="right"/>
              <w:rPr>
                <w:rFonts w:eastAsia="Times New Roman" w:cstheme="minorHAnsi"/>
                <w:b/>
                <w:bCs/>
                <w:color w:val="000000"/>
                <w:sz w:val="24"/>
                <w:szCs w:val="24"/>
              </w:rPr>
            </w:pPr>
            <w:r>
              <w:rPr>
                <w:rFonts w:eastAsia="Times New Roman" w:cstheme="minorHAnsi"/>
                <w:b/>
                <w:bCs/>
                <w:color w:val="000000"/>
                <w:sz w:val="24"/>
                <w:szCs w:val="24"/>
              </w:rPr>
              <w:t>97,300</w:t>
            </w:r>
          </w:p>
        </w:tc>
      </w:tr>
      <w:tr w:rsidR="008C19CD" w:rsidRPr="00250057" w14:paraId="60E44C45" w14:textId="77777777" w:rsidTr="006B21B7">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C4F40A6" w14:textId="46E3BDFD" w:rsidR="008C19CD" w:rsidRDefault="008C19CD" w:rsidP="00B7614B">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37700E60" w14:textId="0E455B49" w:rsidR="008C19CD" w:rsidRDefault="007B4C6D" w:rsidP="00B7614B">
            <w:pPr>
              <w:jc w:val="right"/>
              <w:rPr>
                <w:rFonts w:eastAsia="Times New Roman" w:cstheme="minorHAnsi"/>
                <w:color w:val="000000"/>
                <w:sz w:val="24"/>
                <w:szCs w:val="24"/>
              </w:rPr>
            </w:pPr>
            <w:r>
              <w:rPr>
                <w:rFonts w:eastAsia="Times New Roman" w:cstheme="minorHAnsi"/>
                <w:color w:val="000000"/>
                <w:sz w:val="24"/>
                <w:szCs w:val="24"/>
              </w:rPr>
              <w:t>34,000</w:t>
            </w:r>
          </w:p>
        </w:tc>
      </w:tr>
    </w:tbl>
    <w:p w14:paraId="7598D717" w14:textId="2D0EFBC9" w:rsidR="00FA487B" w:rsidRDefault="00FA487B" w:rsidP="00FA487B">
      <w:pPr>
        <w:rPr>
          <w:rFonts w:ascii="Times New Roman" w:hAnsi="Times New Roman" w:cs="Times New Roman"/>
          <w:sz w:val="24"/>
          <w:szCs w:val="24"/>
        </w:rPr>
      </w:pPr>
    </w:p>
    <w:p w14:paraId="32DE1055" w14:textId="0C255D35" w:rsidR="00B13674" w:rsidRDefault="00B13674" w:rsidP="00FA487B">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B13674" w:rsidRPr="00B13674" w14:paraId="4F4279EA" w14:textId="77777777" w:rsidTr="00B13674">
        <w:trPr>
          <w:trHeight w:val="381"/>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66831ED3" w14:textId="77777777" w:rsidR="00B13674" w:rsidRPr="00B13674" w:rsidRDefault="00B13674" w:rsidP="00B13674">
            <w:pPr>
              <w:spacing w:after="0" w:line="240" w:lineRule="auto"/>
              <w:jc w:val="center"/>
              <w:rPr>
                <w:rFonts w:ascii="Helvetica" w:eastAsia="Times New Roman" w:hAnsi="Helvetica" w:cs="Helvetica"/>
                <w:color w:val="000000"/>
                <w:sz w:val="25"/>
                <w:szCs w:val="25"/>
              </w:rPr>
            </w:pPr>
            <w:r w:rsidRPr="00B13674">
              <w:rPr>
                <w:rFonts w:ascii="Helvetica" w:eastAsia="Times New Roman" w:hAnsi="Helvetica" w:cs="Helvetica"/>
                <w:color w:val="000000"/>
                <w:sz w:val="25"/>
                <w:szCs w:val="25"/>
              </w:rPr>
              <w:t>2019 Texas - Housing Costs - All Occupied Units</w:t>
            </w:r>
          </w:p>
        </w:tc>
      </w:tr>
      <w:tr w:rsidR="00B13674" w:rsidRPr="00B13674" w14:paraId="2F6127CA" w14:textId="77777777" w:rsidTr="00B13674">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444BEA1D" w14:textId="77777777" w:rsidR="00B13674" w:rsidRPr="00B13674" w:rsidRDefault="00B13674" w:rsidP="00B13674">
            <w:pPr>
              <w:spacing w:after="0" w:line="240" w:lineRule="auto"/>
              <w:rPr>
                <w:rFonts w:ascii="Helvetica" w:eastAsia="Times New Roman" w:hAnsi="Helvetica" w:cs="Helvetica"/>
                <w:b/>
                <w:bCs/>
                <w:color w:val="000000"/>
                <w:sz w:val="16"/>
                <w:szCs w:val="16"/>
              </w:rPr>
            </w:pPr>
            <w:r w:rsidRPr="00B13674">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B13674" w:rsidRPr="00B13674" w14:paraId="623C0E9E" w14:textId="77777777" w:rsidTr="00B13674">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3D402E46" w14:textId="77777777" w:rsidR="00B13674" w:rsidRPr="00B13674" w:rsidRDefault="00235B6F" w:rsidP="00B13674">
            <w:pPr>
              <w:spacing w:after="0" w:line="240" w:lineRule="auto"/>
              <w:jc w:val="center"/>
              <w:rPr>
                <w:rFonts w:ascii="Helvetica" w:eastAsia="Times New Roman" w:hAnsi="Helvetica" w:cs="Helvetica"/>
                <w:b/>
                <w:bCs/>
                <w:color w:val="0000FF"/>
                <w:sz w:val="18"/>
                <w:szCs w:val="18"/>
                <w:u w:val="single"/>
              </w:rPr>
            </w:pPr>
            <w:hyperlink r:id="rId11" w:history="1">
              <w:r w:rsidR="00B13674" w:rsidRPr="00B13674">
                <w:rPr>
                  <w:rFonts w:ascii="Helvetica" w:eastAsia="Times New Roman" w:hAnsi="Helvetica" w:cs="Helvetica"/>
                  <w:b/>
                  <w:bCs/>
                  <w:color w:val="0000FF"/>
                  <w:sz w:val="18"/>
                  <w:szCs w:val="18"/>
                  <w:u w:val="single"/>
                </w:rPr>
                <w:t>Subject Definitions</w:t>
              </w:r>
            </w:hyperlink>
          </w:p>
        </w:tc>
      </w:tr>
      <w:tr w:rsidR="00B13674" w:rsidRPr="00B13674" w14:paraId="12F4099A" w14:textId="77777777" w:rsidTr="00B13674">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35099F69" w14:textId="77777777" w:rsidR="00B13674" w:rsidRPr="00B13674" w:rsidRDefault="00B13674" w:rsidP="00B13674">
            <w:pPr>
              <w:spacing w:after="0" w:line="240" w:lineRule="auto"/>
              <w:rPr>
                <w:rFonts w:ascii="Helvetica" w:eastAsia="Times New Roman" w:hAnsi="Helvetica" w:cs="Helvetica"/>
                <w:color w:val="000000"/>
              </w:rPr>
            </w:pPr>
            <w:r w:rsidRPr="00B13674">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4D355B15" w14:textId="77777777" w:rsidR="00B13674" w:rsidRPr="00B13674" w:rsidRDefault="00B13674" w:rsidP="00B13674">
            <w:pPr>
              <w:spacing w:after="0" w:line="240" w:lineRule="auto"/>
              <w:rPr>
                <w:rFonts w:ascii="Helvetica" w:eastAsia="Times New Roman" w:hAnsi="Helvetica" w:cs="Helvetica"/>
                <w:color w:val="000000"/>
              </w:rPr>
            </w:pPr>
            <w:r w:rsidRPr="00B13674">
              <w:rPr>
                <w:rFonts w:ascii="Helvetica" w:eastAsia="Times New Roman" w:hAnsi="Helvetica" w:cs="Helvetica"/>
                <w:color w:val="000000"/>
              </w:rPr>
              <w:t> </w:t>
            </w:r>
          </w:p>
        </w:tc>
      </w:tr>
      <w:tr w:rsidR="00B13674" w:rsidRPr="00B13674" w14:paraId="16C6E6C4" w14:textId="77777777" w:rsidTr="00B13674">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37210BAC" w14:textId="77777777" w:rsidR="00B13674" w:rsidRPr="00B13674" w:rsidRDefault="00B13674" w:rsidP="00B13674">
            <w:pPr>
              <w:spacing w:after="0" w:line="240" w:lineRule="auto"/>
              <w:jc w:val="center"/>
              <w:rPr>
                <w:rFonts w:ascii="Helvetica" w:eastAsia="Times New Roman" w:hAnsi="Helvetica" w:cs="Helvetica"/>
                <w:b/>
                <w:bCs/>
                <w:color w:val="000000"/>
              </w:rPr>
            </w:pPr>
            <w:r w:rsidRPr="00B13674">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09C99E34" w14:textId="77777777" w:rsidR="00B13674" w:rsidRPr="00B13674" w:rsidRDefault="00B13674" w:rsidP="00B13674">
            <w:pPr>
              <w:spacing w:after="0" w:line="240" w:lineRule="auto"/>
              <w:jc w:val="center"/>
              <w:rPr>
                <w:rFonts w:ascii="Helvetica" w:eastAsia="Times New Roman" w:hAnsi="Helvetica" w:cs="Helvetica"/>
                <w:b/>
                <w:bCs/>
                <w:color w:val="000000"/>
              </w:rPr>
            </w:pPr>
            <w:r w:rsidRPr="00B13674">
              <w:rPr>
                <w:rFonts w:ascii="Helvetica" w:eastAsia="Times New Roman" w:hAnsi="Helvetica" w:cs="Helvetica"/>
                <w:b/>
                <w:bCs/>
                <w:color w:val="000000"/>
              </w:rPr>
              <w:t>Estimate</w:t>
            </w:r>
          </w:p>
        </w:tc>
      </w:tr>
      <w:tr w:rsidR="00B13674" w:rsidRPr="00B13674" w14:paraId="357D27ED" w14:textId="77777777" w:rsidTr="00B13674">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678FB7AE" w14:textId="77777777" w:rsidR="00B13674" w:rsidRPr="00B13674" w:rsidRDefault="00B13674" w:rsidP="00B13674">
            <w:pPr>
              <w:spacing w:after="0" w:line="240" w:lineRule="auto"/>
              <w:rPr>
                <w:rFonts w:ascii="Helvetica" w:eastAsia="Times New Roman" w:hAnsi="Helvetica" w:cs="Helvetica"/>
                <w:b/>
                <w:bCs/>
                <w:color w:val="000000"/>
              </w:rPr>
            </w:pPr>
            <w:r w:rsidRPr="00B13674">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0F867D2F" w14:textId="77777777" w:rsidR="00B13674" w:rsidRPr="00B13674" w:rsidRDefault="00B13674" w:rsidP="00B13674">
            <w:pPr>
              <w:spacing w:after="0" w:line="240" w:lineRule="auto"/>
              <w:jc w:val="right"/>
              <w:rPr>
                <w:rFonts w:ascii="Helvetica" w:eastAsia="Times New Roman" w:hAnsi="Helvetica" w:cs="Helvetica"/>
                <w:color w:val="000000"/>
              </w:rPr>
            </w:pPr>
            <w:r w:rsidRPr="00B13674">
              <w:rPr>
                <w:rFonts w:ascii="Helvetica" w:eastAsia="Times New Roman" w:hAnsi="Helvetica" w:cs="Helvetica"/>
                <w:color w:val="000000"/>
              </w:rPr>
              <w:t xml:space="preserve">            </w:t>
            </w:r>
          </w:p>
        </w:tc>
      </w:tr>
      <w:tr w:rsidR="00B13674" w:rsidRPr="00B13674" w14:paraId="6E39BA5E" w14:textId="77777777" w:rsidTr="00B1367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D717D40" w14:textId="77777777" w:rsidR="00B13674" w:rsidRPr="00B13674" w:rsidRDefault="00B13674" w:rsidP="00B13674">
            <w:pPr>
              <w:spacing w:after="0" w:line="240" w:lineRule="auto"/>
              <w:rPr>
                <w:rFonts w:ascii="Helvetica" w:eastAsia="Times New Roman" w:hAnsi="Helvetica" w:cs="Helvetica"/>
                <w:color w:val="000000"/>
              </w:rPr>
            </w:pPr>
            <w:r w:rsidRPr="00B13674">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25DEC509" w14:textId="77777777" w:rsidR="00B13674" w:rsidRPr="00B13674" w:rsidRDefault="00B13674" w:rsidP="00B13674">
            <w:pPr>
              <w:spacing w:after="0" w:line="240" w:lineRule="auto"/>
              <w:jc w:val="right"/>
              <w:rPr>
                <w:rFonts w:ascii="Helvetica" w:eastAsia="Times New Roman" w:hAnsi="Helvetica" w:cs="Helvetica"/>
                <w:color w:val="000000"/>
              </w:rPr>
            </w:pPr>
            <w:r w:rsidRPr="00B13674">
              <w:rPr>
                <w:rFonts w:ascii="Helvetica" w:eastAsia="Times New Roman" w:hAnsi="Helvetica" w:cs="Helvetica"/>
                <w:color w:val="000000"/>
              </w:rPr>
              <w:t xml:space="preserve">            </w:t>
            </w:r>
          </w:p>
        </w:tc>
      </w:tr>
      <w:tr w:rsidR="00B13674" w:rsidRPr="00B13674" w14:paraId="64D735C9" w14:textId="77777777" w:rsidTr="00B1367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7AF88A8" w14:textId="77777777" w:rsidR="00B13674" w:rsidRPr="00B13674" w:rsidRDefault="00B13674" w:rsidP="00B13674">
            <w:pPr>
              <w:spacing w:after="0" w:line="240" w:lineRule="auto"/>
              <w:rPr>
                <w:rFonts w:ascii="Helvetica" w:eastAsia="Times New Roman" w:hAnsi="Helvetica" w:cs="Helvetica"/>
                <w:color w:val="000000"/>
              </w:rPr>
            </w:pPr>
            <w:r w:rsidRPr="00B13674">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641A6D12" w14:textId="77777777" w:rsidR="00B13674" w:rsidRPr="00B13674" w:rsidRDefault="00B13674" w:rsidP="00B13674">
            <w:pPr>
              <w:spacing w:after="0" w:line="240" w:lineRule="auto"/>
              <w:jc w:val="right"/>
              <w:rPr>
                <w:rFonts w:ascii="Helvetica" w:eastAsia="Times New Roman" w:hAnsi="Helvetica" w:cs="Helvetica"/>
                <w:color w:val="000000"/>
              </w:rPr>
            </w:pPr>
            <w:r w:rsidRPr="00B13674">
              <w:rPr>
                <w:rFonts w:ascii="Helvetica" w:eastAsia="Times New Roman" w:hAnsi="Helvetica" w:cs="Helvetica"/>
                <w:color w:val="000000"/>
              </w:rPr>
              <w:t>2,134.1</w:t>
            </w:r>
          </w:p>
        </w:tc>
      </w:tr>
      <w:tr w:rsidR="00B13674" w:rsidRPr="00B13674" w14:paraId="10D05AE7" w14:textId="77777777" w:rsidTr="00B1367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F374F97" w14:textId="77777777" w:rsidR="00B13674" w:rsidRPr="00B13674" w:rsidRDefault="00B13674" w:rsidP="00B13674">
            <w:pPr>
              <w:spacing w:after="0" w:line="240" w:lineRule="auto"/>
              <w:rPr>
                <w:rFonts w:ascii="Helvetica" w:eastAsia="Times New Roman" w:hAnsi="Helvetica" w:cs="Helvetica"/>
                <w:color w:val="000000"/>
              </w:rPr>
            </w:pPr>
            <w:r w:rsidRPr="00B13674">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77F51916" w14:textId="77777777" w:rsidR="00B13674" w:rsidRPr="00B13674" w:rsidRDefault="00B13674" w:rsidP="00B13674">
            <w:pPr>
              <w:spacing w:after="0" w:line="240" w:lineRule="auto"/>
              <w:jc w:val="right"/>
              <w:rPr>
                <w:rFonts w:ascii="Helvetica" w:eastAsia="Times New Roman" w:hAnsi="Helvetica" w:cs="Helvetica"/>
                <w:color w:val="000000"/>
              </w:rPr>
            </w:pPr>
            <w:r w:rsidRPr="00B13674">
              <w:rPr>
                <w:rFonts w:ascii="Helvetica" w:eastAsia="Times New Roman" w:hAnsi="Helvetica" w:cs="Helvetica"/>
                <w:color w:val="000000"/>
              </w:rPr>
              <w:t>1,085.4</w:t>
            </w:r>
          </w:p>
        </w:tc>
      </w:tr>
      <w:tr w:rsidR="00B13674" w:rsidRPr="00B13674" w14:paraId="43A04A6F" w14:textId="77777777" w:rsidTr="00B1367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43C17C7" w14:textId="77777777" w:rsidR="00B13674" w:rsidRPr="00B13674" w:rsidRDefault="00B13674" w:rsidP="00B13674">
            <w:pPr>
              <w:spacing w:after="0" w:line="240" w:lineRule="auto"/>
              <w:rPr>
                <w:rFonts w:ascii="Helvetica" w:eastAsia="Times New Roman" w:hAnsi="Helvetica" w:cs="Helvetica"/>
                <w:color w:val="000000"/>
              </w:rPr>
            </w:pPr>
            <w:r w:rsidRPr="00B13674">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3068E830" w14:textId="77777777" w:rsidR="00B13674" w:rsidRPr="00B13674" w:rsidRDefault="00B13674" w:rsidP="00B13674">
            <w:pPr>
              <w:spacing w:after="0" w:line="240" w:lineRule="auto"/>
              <w:jc w:val="right"/>
              <w:rPr>
                <w:rFonts w:ascii="Helvetica" w:eastAsia="Times New Roman" w:hAnsi="Helvetica" w:cs="Helvetica"/>
                <w:color w:val="000000"/>
              </w:rPr>
            </w:pPr>
            <w:r w:rsidRPr="00B13674">
              <w:rPr>
                <w:rFonts w:ascii="Helvetica" w:eastAsia="Times New Roman" w:hAnsi="Helvetica" w:cs="Helvetica"/>
                <w:color w:val="000000"/>
              </w:rPr>
              <w:t>456.6</w:t>
            </w:r>
          </w:p>
        </w:tc>
      </w:tr>
      <w:tr w:rsidR="00B13674" w:rsidRPr="00B13674" w14:paraId="5BB65C22" w14:textId="77777777" w:rsidTr="00B1367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7546BB9" w14:textId="77777777" w:rsidR="00B13674" w:rsidRPr="00B13674" w:rsidRDefault="00B13674" w:rsidP="00B13674">
            <w:pPr>
              <w:spacing w:after="0" w:line="240" w:lineRule="auto"/>
              <w:rPr>
                <w:rFonts w:ascii="Helvetica" w:eastAsia="Times New Roman" w:hAnsi="Helvetica" w:cs="Helvetica"/>
                <w:color w:val="000000"/>
              </w:rPr>
            </w:pPr>
            <w:r w:rsidRPr="00B13674">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7CB58B85" w14:textId="77777777" w:rsidR="00B13674" w:rsidRPr="00B13674" w:rsidRDefault="00B13674" w:rsidP="00B13674">
            <w:pPr>
              <w:spacing w:after="0" w:line="240" w:lineRule="auto"/>
              <w:jc w:val="right"/>
              <w:rPr>
                <w:rFonts w:ascii="Helvetica" w:eastAsia="Times New Roman" w:hAnsi="Helvetica" w:cs="Helvetica"/>
                <w:color w:val="000000"/>
              </w:rPr>
            </w:pPr>
            <w:r w:rsidRPr="00B13674">
              <w:rPr>
                <w:rFonts w:ascii="Helvetica" w:eastAsia="Times New Roman" w:hAnsi="Helvetica" w:cs="Helvetica"/>
                <w:color w:val="000000"/>
              </w:rPr>
              <w:t>123.6</w:t>
            </w:r>
          </w:p>
        </w:tc>
      </w:tr>
      <w:tr w:rsidR="00B13674" w:rsidRPr="00B13674" w14:paraId="180A0233" w14:textId="77777777" w:rsidTr="00B1367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DF97710" w14:textId="77777777" w:rsidR="00B13674" w:rsidRPr="00B13674" w:rsidRDefault="00B13674" w:rsidP="00B13674">
            <w:pPr>
              <w:spacing w:after="0" w:line="240" w:lineRule="auto"/>
              <w:rPr>
                <w:rFonts w:ascii="Helvetica" w:eastAsia="Times New Roman" w:hAnsi="Helvetica" w:cs="Helvetica"/>
                <w:color w:val="000000"/>
              </w:rPr>
            </w:pPr>
            <w:r w:rsidRPr="00B13674">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6659A489" w14:textId="77777777" w:rsidR="00B13674" w:rsidRPr="00B13674" w:rsidRDefault="00B13674" w:rsidP="00B13674">
            <w:pPr>
              <w:spacing w:after="0" w:line="240" w:lineRule="auto"/>
              <w:jc w:val="right"/>
              <w:rPr>
                <w:rFonts w:ascii="Helvetica" w:eastAsia="Times New Roman" w:hAnsi="Helvetica" w:cs="Helvetica"/>
                <w:color w:val="000000"/>
              </w:rPr>
            </w:pPr>
            <w:r w:rsidRPr="00B13674">
              <w:rPr>
                <w:rFonts w:ascii="Helvetica" w:eastAsia="Times New Roman" w:hAnsi="Helvetica" w:cs="Helvetica"/>
                <w:color w:val="000000"/>
              </w:rPr>
              <w:t>49.1</w:t>
            </w:r>
          </w:p>
        </w:tc>
      </w:tr>
      <w:tr w:rsidR="00B13674" w:rsidRPr="00B13674" w14:paraId="7FE989B5" w14:textId="77777777" w:rsidTr="00B1367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3031D9E" w14:textId="77777777" w:rsidR="00B13674" w:rsidRPr="00B13674" w:rsidRDefault="00B13674" w:rsidP="00B13674">
            <w:pPr>
              <w:spacing w:after="0" w:line="240" w:lineRule="auto"/>
              <w:rPr>
                <w:rFonts w:ascii="Helvetica" w:eastAsia="Times New Roman" w:hAnsi="Helvetica" w:cs="Helvetica"/>
                <w:color w:val="000000"/>
              </w:rPr>
            </w:pPr>
            <w:r w:rsidRPr="00B13674">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39940DFE" w14:textId="77777777" w:rsidR="00B13674" w:rsidRPr="00B13674" w:rsidRDefault="00B13674" w:rsidP="00B13674">
            <w:pPr>
              <w:spacing w:after="0" w:line="240" w:lineRule="auto"/>
              <w:jc w:val="right"/>
              <w:rPr>
                <w:rFonts w:ascii="Helvetica" w:eastAsia="Times New Roman" w:hAnsi="Helvetica" w:cs="Helvetica"/>
                <w:color w:val="000000"/>
              </w:rPr>
            </w:pPr>
            <w:r w:rsidRPr="00B13674">
              <w:rPr>
                <w:rFonts w:ascii="Helvetica" w:eastAsia="Times New Roman" w:hAnsi="Helvetica" w:cs="Helvetica"/>
                <w:color w:val="000000"/>
              </w:rPr>
              <w:t>71.4</w:t>
            </w:r>
          </w:p>
        </w:tc>
      </w:tr>
      <w:tr w:rsidR="00B13674" w:rsidRPr="00B13674" w14:paraId="4C07BE4D" w14:textId="77777777" w:rsidTr="00B1367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D54ED0D" w14:textId="77777777" w:rsidR="00B13674" w:rsidRPr="00B13674" w:rsidRDefault="00B13674" w:rsidP="00B13674">
            <w:pPr>
              <w:spacing w:after="0" w:line="240" w:lineRule="auto"/>
              <w:rPr>
                <w:rFonts w:ascii="Helvetica" w:eastAsia="Times New Roman" w:hAnsi="Helvetica" w:cs="Helvetica"/>
                <w:color w:val="000000"/>
              </w:rPr>
            </w:pPr>
            <w:r w:rsidRPr="00B13674">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7E16CEC8" w14:textId="77777777" w:rsidR="00B13674" w:rsidRPr="00B13674" w:rsidRDefault="00B13674" w:rsidP="00B13674">
            <w:pPr>
              <w:spacing w:after="0" w:line="240" w:lineRule="auto"/>
              <w:jc w:val="right"/>
              <w:rPr>
                <w:rFonts w:ascii="Helvetica" w:eastAsia="Times New Roman" w:hAnsi="Helvetica" w:cs="Helvetica"/>
                <w:color w:val="000000"/>
              </w:rPr>
            </w:pPr>
            <w:r w:rsidRPr="00B13674">
              <w:rPr>
                <w:rFonts w:ascii="Helvetica" w:eastAsia="Times New Roman" w:hAnsi="Helvetica" w:cs="Helvetica"/>
                <w:color w:val="000000"/>
              </w:rPr>
              <w:t>59.7</w:t>
            </w:r>
          </w:p>
        </w:tc>
      </w:tr>
      <w:tr w:rsidR="00B13674" w:rsidRPr="00B13674" w14:paraId="3EEFBCDE" w14:textId="77777777" w:rsidTr="00B1367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01C5C53" w14:textId="77777777" w:rsidR="00B13674" w:rsidRPr="00B13674" w:rsidRDefault="00B13674" w:rsidP="00B13674">
            <w:pPr>
              <w:spacing w:after="0" w:line="240" w:lineRule="auto"/>
              <w:rPr>
                <w:rFonts w:ascii="Helvetica" w:eastAsia="Times New Roman" w:hAnsi="Helvetica" w:cs="Helvetica"/>
                <w:color w:val="000000"/>
              </w:rPr>
            </w:pPr>
            <w:r w:rsidRPr="00B13674">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3B0EB983" w14:textId="77777777" w:rsidR="00B13674" w:rsidRPr="00B13674" w:rsidRDefault="00B13674" w:rsidP="00B13674">
            <w:pPr>
              <w:spacing w:after="0" w:line="240" w:lineRule="auto"/>
              <w:jc w:val="right"/>
              <w:rPr>
                <w:rFonts w:ascii="Helvetica" w:eastAsia="Times New Roman" w:hAnsi="Helvetica" w:cs="Helvetica"/>
                <w:color w:val="000000"/>
              </w:rPr>
            </w:pPr>
            <w:r w:rsidRPr="00B13674">
              <w:rPr>
                <w:rFonts w:ascii="Helvetica" w:eastAsia="Times New Roman" w:hAnsi="Helvetica" w:cs="Helvetica"/>
                <w:color w:val="000000"/>
              </w:rPr>
              <w:t>66.3</w:t>
            </w:r>
          </w:p>
        </w:tc>
      </w:tr>
      <w:tr w:rsidR="00B13674" w:rsidRPr="00B13674" w14:paraId="08D79F69" w14:textId="77777777" w:rsidTr="00B13674">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E2D682B" w14:textId="77777777" w:rsidR="00B13674" w:rsidRPr="00B13674" w:rsidRDefault="00B13674" w:rsidP="00B13674">
            <w:pPr>
              <w:spacing w:after="0" w:line="240" w:lineRule="auto"/>
              <w:rPr>
                <w:rFonts w:ascii="Helvetica" w:eastAsia="Times New Roman" w:hAnsi="Helvetica" w:cs="Helvetica"/>
                <w:color w:val="000000"/>
              </w:rPr>
            </w:pPr>
            <w:r w:rsidRPr="00B13674">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7F01F316" w14:textId="77777777" w:rsidR="00B13674" w:rsidRPr="00B13674" w:rsidRDefault="00B13674" w:rsidP="00B13674">
            <w:pPr>
              <w:spacing w:after="0" w:line="240" w:lineRule="auto"/>
              <w:jc w:val="right"/>
              <w:rPr>
                <w:rFonts w:ascii="Helvetica" w:eastAsia="Times New Roman" w:hAnsi="Helvetica" w:cs="Helvetica"/>
                <w:color w:val="000000"/>
              </w:rPr>
            </w:pPr>
            <w:r w:rsidRPr="00B13674">
              <w:rPr>
                <w:rFonts w:ascii="Helvetica" w:eastAsia="Times New Roman" w:hAnsi="Helvetica" w:cs="Helvetica"/>
                <w:color w:val="000000"/>
              </w:rPr>
              <w:t>221.9</w:t>
            </w:r>
          </w:p>
        </w:tc>
      </w:tr>
      <w:tr w:rsidR="00B13674" w:rsidRPr="00B13674" w14:paraId="0DBC106A" w14:textId="77777777" w:rsidTr="00B13674">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30B41E8" w14:textId="77777777" w:rsidR="00B13674" w:rsidRPr="00B13674" w:rsidRDefault="00B13674" w:rsidP="00B13674">
            <w:pPr>
              <w:spacing w:after="0" w:line="240" w:lineRule="auto"/>
              <w:rPr>
                <w:rFonts w:ascii="Helvetica" w:eastAsia="Times New Roman" w:hAnsi="Helvetica" w:cs="Helvetica"/>
                <w:b/>
                <w:bCs/>
                <w:color w:val="000000"/>
              </w:rPr>
            </w:pPr>
            <w:r w:rsidRPr="00B13674">
              <w:rPr>
                <w:rFonts w:ascii="Helvetica" w:eastAsia="Times New Roman" w:hAnsi="Helvetica" w:cs="Helvetica"/>
                <w:b/>
                <w:bCs/>
                <w:color w:val="000000"/>
              </w:rPr>
              <w:t>Median (</w:t>
            </w:r>
            <w:proofErr w:type="gramStart"/>
            <w:r w:rsidRPr="00B13674">
              <w:rPr>
                <w:rFonts w:ascii="Helvetica" w:eastAsia="Times New Roman" w:hAnsi="Helvetica" w:cs="Helvetica"/>
                <w:b/>
                <w:bCs/>
                <w:color w:val="000000"/>
              </w:rPr>
              <w:t>dollars)   </w:t>
            </w:r>
            <w:proofErr w:type="gramEnd"/>
            <w:r w:rsidRPr="00B13674">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71EC350C" w14:textId="77777777" w:rsidR="00B13674" w:rsidRPr="00B13674" w:rsidRDefault="00B13674" w:rsidP="00B13674">
            <w:pPr>
              <w:spacing w:after="0" w:line="240" w:lineRule="auto"/>
              <w:jc w:val="right"/>
              <w:rPr>
                <w:rFonts w:ascii="Helvetica" w:eastAsia="Times New Roman" w:hAnsi="Helvetica" w:cs="Helvetica"/>
                <w:color w:val="000000"/>
              </w:rPr>
            </w:pPr>
            <w:r w:rsidRPr="00B13674">
              <w:rPr>
                <w:rFonts w:ascii="Helvetica" w:eastAsia="Times New Roman" w:hAnsi="Helvetica" w:cs="Helvetica"/>
                <w:color w:val="000000"/>
              </w:rPr>
              <w:t>42.0</w:t>
            </w:r>
          </w:p>
        </w:tc>
      </w:tr>
      <w:tr w:rsidR="00B13674" w:rsidRPr="00B13674" w14:paraId="5EBC5102" w14:textId="77777777" w:rsidTr="00B13674">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2CE5A26" w14:textId="77777777" w:rsidR="00B13674" w:rsidRPr="00B13674" w:rsidRDefault="00B13674" w:rsidP="00B13674">
            <w:pPr>
              <w:spacing w:after="0" w:line="240" w:lineRule="auto"/>
              <w:rPr>
                <w:rFonts w:ascii="Helvetica" w:eastAsia="Times New Roman" w:hAnsi="Helvetica" w:cs="Helvetica"/>
                <w:b/>
                <w:bCs/>
                <w:color w:val="000000"/>
              </w:rPr>
            </w:pPr>
            <w:r w:rsidRPr="00B13674">
              <w:rPr>
                <w:rFonts w:ascii="Helvetica" w:eastAsia="Times New Roman" w:hAnsi="Helvetica" w:cs="Helvetica"/>
                <w:b/>
                <w:bCs/>
                <w:color w:val="000000"/>
              </w:rPr>
              <w:t>Mean (</w:t>
            </w:r>
            <w:proofErr w:type="gramStart"/>
            <w:r w:rsidRPr="00B13674">
              <w:rPr>
                <w:rFonts w:ascii="Helvetica" w:eastAsia="Times New Roman" w:hAnsi="Helvetica" w:cs="Helvetica"/>
                <w:b/>
                <w:bCs/>
                <w:color w:val="000000"/>
              </w:rPr>
              <w:t>dollars)   </w:t>
            </w:r>
            <w:proofErr w:type="gramEnd"/>
            <w:r w:rsidRPr="00B13674">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41651AA7" w14:textId="77777777" w:rsidR="00B13674" w:rsidRPr="00B13674" w:rsidRDefault="00B13674" w:rsidP="00B13674">
            <w:pPr>
              <w:spacing w:after="0" w:line="240" w:lineRule="auto"/>
              <w:jc w:val="right"/>
              <w:rPr>
                <w:rFonts w:ascii="Helvetica" w:eastAsia="Times New Roman" w:hAnsi="Helvetica" w:cs="Helvetica"/>
                <w:color w:val="000000"/>
              </w:rPr>
            </w:pPr>
            <w:r w:rsidRPr="00B13674">
              <w:rPr>
                <w:rFonts w:ascii="Helvetica" w:eastAsia="Times New Roman" w:hAnsi="Helvetica" w:cs="Helvetica"/>
                <w:color w:val="000000"/>
              </w:rPr>
              <w:t>104.5</w:t>
            </w:r>
          </w:p>
        </w:tc>
      </w:tr>
    </w:tbl>
    <w:p w14:paraId="107562F1" w14:textId="47D3A8A7" w:rsidR="00B13674" w:rsidRDefault="00B13674" w:rsidP="00FA487B">
      <w:pPr>
        <w:rPr>
          <w:rFonts w:ascii="Times New Roman" w:hAnsi="Times New Roman" w:cs="Times New Roman"/>
          <w:sz w:val="24"/>
          <w:szCs w:val="24"/>
        </w:rPr>
      </w:pPr>
    </w:p>
    <w:p w14:paraId="1DF9E690" w14:textId="77777777" w:rsidR="00F20AF0" w:rsidRDefault="00F20AF0" w:rsidP="00FA487B">
      <w:pPr>
        <w:rPr>
          <w:rFonts w:ascii="Times New Roman" w:hAnsi="Times New Roman" w:cs="Times New Roman"/>
          <w:sz w:val="24"/>
          <w:szCs w:val="24"/>
        </w:rPr>
      </w:pPr>
    </w:p>
    <w:tbl>
      <w:tblPr>
        <w:tblW w:w="11091" w:type="dxa"/>
        <w:jc w:val="center"/>
        <w:tblLook w:val="04A0" w:firstRow="1" w:lastRow="0" w:firstColumn="1" w:lastColumn="0" w:noHBand="0" w:noVBand="1"/>
      </w:tblPr>
      <w:tblGrid>
        <w:gridCol w:w="9516"/>
        <w:gridCol w:w="1575"/>
      </w:tblGrid>
      <w:tr w:rsidR="00F20AF0" w:rsidRPr="00F20AF0" w14:paraId="20A5A263" w14:textId="77777777" w:rsidTr="00F20AF0">
        <w:trPr>
          <w:trHeight w:val="652"/>
          <w:jc w:val="center"/>
        </w:trPr>
        <w:tc>
          <w:tcPr>
            <w:tcW w:w="11091" w:type="dxa"/>
            <w:gridSpan w:val="2"/>
            <w:tcBorders>
              <w:top w:val="single" w:sz="4" w:space="0" w:color="auto"/>
              <w:left w:val="single" w:sz="4" w:space="0" w:color="auto"/>
              <w:bottom w:val="nil"/>
              <w:right w:val="single" w:sz="4" w:space="0" w:color="auto"/>
            </w:tcBorders>
            <w:shd w:val="clear" w:color="000000" w:fill="FFFFFF"/>
            <w:vAlign w:val="bottom"/>
            <w:hideMark/>
          </w:tcPr>
          <w:p w14:paraId="1F9E8D76" w14:textId="77777777" w:rsidR="00F20AF0" w:rsidRPr="00F20AF0" w:rsidRDefault="00F20AF0" w:rsidP="00F20AF0">
            <w:pPr>
              <w:spacing w:after="0" w:line="240" w:lineRule="auto"/>
              <w:jc w:val="center"/>
              <w:rPr>
                <w:rFonts w:ascii="Helvetica" w:eastAsia="Times New Roman" w:hAnsi="Helvetica" w:cs="Helvetica"/>
                <w:color w:val="000000"/>
                <w:sz w:val="25"/>
                <w:szCs w:val="25"/>
              </w:rPr>
            </w:pPr>
            <w:r w:rsidRPr="00F20AF0">
              <w:rPr>
                <w:rFonts w:ascii="Helvetica" w:eastAsia="Times New Roman" w:hAnsi="Helvetica" w:cs="Helvetica"/>
                <w:color w:val="000000"/>
                <w:sz w:val="25"/>
                <w:szCs w:val="25"/>
              </w:rPr>
              <w:lastRenderedPageBreak/>
              <w:t xml:space="preserve">2013 Austin - Housing Costs - All Occupied Units    </w:t>
            </w:r>
            <w:r w:rsidRPr="00F20AF0">
              <w:rPr>
                <w:rFonts w:ascii="Helvetica" w:eastAsia="Times New Roman" w:hAnsi="Helvetica" w:cs="Helvetica"/>
                <w:color w:val="000000"/>
                <w:sz w:val="25"/>
                <w:szCs w:val="25"/>
              </w:rPr>
              <w:br/>
              <w:t>Austin-Round Rock, TX MSA (1983 OMB definition)</w:t>
            </w:r>
          </w:p>
        </w:tc>
      </w:tr>
      <w:tr w:rsidR="00F20AF0" w:rsidRPr="00F20AF0" w14:paraId="580E5EB0" w14:textId="77777777" w:rsidTr="00F20AF0">
        <w:trPr>
          <w:trHeight w:val="430"/>
          <w:jc w:val="center"/>
        </w:trPr>
        <w:tc>
          <w:tcPr>
            <w:tcW w:w="11091" w:type="dxa"/>
            <w:gridSpan w:val="2"/>
            <w:tcBorders>
              <w:top w:val="nil"/>
              <w:left w:val="single" w:sz="4" w:space="0" w:color="auto"/>
              <w:bottom w:val="nil"/>
              <w:right w:val="single" w:sz="4" w:space="0" w:color="auto"/>
            </w:tcBorders>
            <w:shd w:val="clear" w:color="000000" w:fill="FFFFFF"/>
            <w:vAlign w:val="bottom"/>
            <w:hideMark/>
          </w:tcPr>
          <w:p w14:paraId="0D53847D" w14:textId="77777777" w:rsidR="00F20AF0" w:rsidRPr="00F20AF0" w:rsidRDefault="00F20AF0" w:rsidP="00F20AF0">
            <w:pPr>
              <w:spacing w:after="0" w:line="240" w:lineRule="auto"/>
              <w:rPr>
                <w:rFonts w:ascii="Helvetica" w:eastAsia="Times New Roman" w:hAnsi="Helvetica" w:cs="Helvetica"/>
                <w:b/>
                <w:bCs/>
                <w:color w:val="000000"/>
                <w:sz w:val="16"/>
                <w:szCs w:val="16"/>
              </w:rPr>
            </w:pPr>
            <w:r w:rsidRPr="00F20AF0">
              <w:rPr>
                <w:rFonts w:ascii="Helvetica" w:eastAsia="Times New Roman" w:hAnsi="Helvetica" w:cs="Helvetica"/>
                <w:b/>
                <w:bCs/>
                <w:color w:val="000000"/>
                <w:sz w:val="16"/>
                <w:szCs w:val="16"/>
              </w:rPr>
              <w:t>[Estimates in thousands of housing units, except as indicated. Weighting consistent with Census 2010. Blank cells represent zero; Z rounds to zero; '.' Represents not applicable or no cases in sample; S represents estimates that did not meet publication standards]</w:t>
            </w:r>
          </w:p>
        </w:tc>
      </w:tr>
      <w:tr w:rsidR="00F20AF0" w:rsidRPr="00F20AF0" w14:paraId="2F179E3B" w14:textId="77777777" w:rsidTr="00F20AF0">
        <w:trPr>
          <w:trHeight w:val="239"/>
          <w:jc w:val="center"/>
        </w:trPr>
        <w:tc>
          <w:tcPr>
            <w:tcW w:w="11091" w:type="dxa"/>
            <w:gridSpan w:val="2"/>
            <w:tcBorders>
              <w:top w:val="nil"/>
              <w:left w:val="single" w:sz="4" w:space="0" w:color="auto"/>
              <w:bottom w:val="nil"/>
              <w:right w:val="single" w:sz="4" w:space="0" w:color="auto"/>
            </w:tcBorders>
            <w:shd w:val="clear" w:color="000000" w:fill="FFFFFF"/>
            <w:vAlign w:val="bottom"/>
            <w:hideMark/>
          </w:tcPr>
          <w:p w14:paraId="3A537761" w14:textId="77777777" w:rsidR="00F20AF0" w:rsidRPr="00F20AF0" w:rsidRDefault="00235B6F" w:rsidP="00F20AF0">
            <w:pPr>
              <w:spacing w:after="0" w:line="240" w:lineRule="auto"/>
              <w:jc w:val="center"/>
              <w:rPr>
                <w:rFonts w:ascii="Helvetica" w:eastAsia="Times New Roman" w:hAnsi="Helvetica" w:cs="Helvetica"/>
                <w:b/>
                <w:bCs/>
                <w:color w:val="0000FF"/>
                <w:sz w:val="18"/>
                <w:szCs w:val="18"/>
                <w:u w:val="single"/>
              </w:rPr>
            </w:pPr>
            <w:hyperlink r:id="rId12" w:history="1">
              <w:r w:rsidR="00F20AF0" w:rsidRPr="00F20AF0">
                <w:rPr>
                  <w:rFonts w:ascii="Helvetica" w:eastAsia="Times New Roman" w:hAnsi="Helvetica" w:cs="Helvetica"/>
                  <w:b/>
                  <w:bCs/>
                  <w:color w:val="0000FF"/>
                  <w:sz w:val="18"/>
                  <w:szCs w:val="18"/>
                  <w:u w:val="single"/>
                </w:rPr>
                <w:t>Subject Definitions</w:t>
              </w:r>
            </w:hyperlink>
          </w:p>
        </w:tc>
      </w:tr>
      <w:tr w:rsidR="00F20AF0" w:rsidRPr="00F20AF0" w14:paraId="76379265" w14:textId="77777777" w:rsidTr="00F20AF0">
        <w:trPr>
          <w:trHeight w:val="239"/>
          <w:jc w:val="center"/>
        </w:trPr>
        <w:tc>
          <w:tcPr>
            <w:tcW w:w="9516" w:type="dxa"/>
            <w:tcBorders>
              <w:top w:val="nil"/>
              <w:left w:val="single" w:sz="4" w:space="0" w:color="auto"/>
              <w:bottom w:val="single" w:sz="4" w:space="0" w:color="auto"/>
              <w:right w:val="nil"/>
            </w:tcBorders>
            <w:shd w:val="clear" w:color="000000" w:fill="FFFFFF"/>
            <w:noWrap/>
            <w:vAlign w:val="bottom"/>
            <w:hideMark/>
          </w:tcPr>
          <w:p w14:paraId="381DF6AE" w14:textId="77777777" w:rsidR="00F20AF0" w:rsidRPr="00F20AF0" w:rsidRDefault="00F20AF0" w:rsidP="00F20AF0">
            <w:pPr>
              <w:spacing w:after="0" w:line="240" w:lineRule="auto"/>
              <w:rPr>
                <w:rFonts w:ascii="Helvetica" w:eastAsia="Times New Roman" w:hAnsi="Helvetica" w:cs="Helvetica"/>
                <w:color w:val="000000"/>
              </w:rPr>
            </w:pPr>
            <w:r w:rsidRPr="00F20AF0">
              <w:rPr>
                <w:rFonts w:ascii="Helvetica" w:eastAsia="Times New Roman" w:hAnsi="Helvetica" w:cs="Helvetica"/>
                <w:color w:val="000000"/>
              </w:rPr>
              <w:t> </w:t>
            </w:r>
          </w:p>
        </w:tc>
        <w:tc>
          <w:tcPr>
            <w:tcW w:w="1574" w:type="dxa"/>
            <w:tcBorders>
              <w:top w:val="nil"/>
              <w:left w:val="nil"/>
              <w:bottom w:val="single" w:sz="4" w:space="0" w:color="auto"/>
              <w:right w:val="single" w:sz="4" w:space="0" w:color="auto"/>
            </w:tcBorders>
            <w:shd w:val="clear" w:color="000000" w:fill="FFFFFF"/>
            <w:noWrap/>
            <w:vAlign w:val="bottom"/>
            <w:hideMark/>
          </w:tcPr>
          <w:p w14:paraId="708D425B" w14:textId="77777777" w:rsidR="00F20AF0" w:rsidRPr="00F20AF0" w:rsidRDefault="00F20AF0" w:rsidP="00F20AF0">
            <w:pPr>
              <w:spacing w:after="0" w:line="240" w:lineRule="auto"/>
              <w:rPr>
                <w:rFonts w:ascii="Helvetica" w:eastAsia="Times New Roman" w:hAnsi="Helvetica" w:cs="Helvetica"/>
                <w:color w:val="000000"/>
              </w:rPr>
            </w:pPr>
            <w:r w:rsidRPr="00F20AF0">
              <w:rPr>
                <w:rFonts w:ascii="Helvetica" w:eastAsia="Times New Roman" w:hAnsi="Helvetica" w:cs="Helvetica"/>
                <w:color w:val="000000"/>
              </w:rPr>
              <w:t> </w:t>
            </w:r>
          </w:p>
        </w:tc>
      </w:tr>
      <w:tr w:rsidR="00F20AF0" w:rsidRPr="00F20AF0" w14:paraId="58AEEC29" w14:textId="77777777" w:rsidTr="00F20AF0">
        <w:trPr>
          <w:trHeight w:val="291"/>
          <w:jc w:val="center"/>
        </w:trPr>
        <w:tc>
          <w:tcPr>
            <w:tcW w:w="9516"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4CF817EA" w14:textId="77777777" w:rsidR="00F20AF0" w:rsidRPr="00F20AF0" w:rsidRDefault="00F20AF0" w:rsidP="00F20AF0">
            <w:pPr>
              <w:spacing w:after="0" w:line="240" w:lineRule="auto"/>
              <w:jc w:val="center"/>
              <w:rPr>
                <w:rFonts w:ascii="Helvetica" w:eastAsia="Times New Roman" w:hAnsi="Helvetica" w:cs="Helvetica"/>
                <w:b/>
                <w:bCs/>
                <w:color w:val="000000"/>
              </w:rPr>
            </w:pPr>
            <w:r w:rsidRPr="00F20AF0">
              <w:rPr>
                <w:rFonts w:ascii="Helvetica" w:eastAsia="Times New Roman" w:hAnsi="Helvetica" w:cs="Helvetica"/>
                <w:b/>
                <w:bCs/>
                <w:color w:val="000000"/>
              </w:rPr>
              <w:t>Characteristics</w:t>
            </w:r>
          </w:p>
        </w:tc>
        <w:tc>
          <w:tcPr>
            <w:tcW w:w="1574" w:type="dxa"/>
            <w:tcBorders>
              <w:top w:val="single" w:sz="4" w:space="0" w:color="auto"/>
              <w:left w:val="nil"/>
              <w:bottom w:val="single" w:sz="4" w:space="0" w:color="808080"/>
              <w:right w:val="single" w:sz="4" w:space="0" w:color="808080"/>
            </w:tcBorders>
            <w:shd w:val="clear" w:color="000000" w:fill="F5F5F5"/>
            <w:vAlign w:val="bottom"/>
            <w:hideMark/>
          </w:tcPr>
          <w:p w14:paraId="64BA4326" w14:textId="77777777" w:rsidR="00F20AF0" w:rsidRPr="00F20AF0" w:rsidRDefault="00F20AF0" w:rsidP="00F20AF0">
            <w:pPr>
              <w:spacing w:after="0" w:line="240" w:lineRule="auto"/>
              <w:jc w:val="center"/>
              <w:rPr>
                <w:rFonts w:ascii="Helvetica" w:eastAsia="Times New Roman" w:hAnsi="Helvetica" w:cs="Helvetica"/>
                <w:b/>
                <w:bCs/>
                <w:color w:val="000000"/>
              </w:rPr>
            </w:pPr>
            <w:r w:rsidRPr="00F20AF0">
              <w:rPr>
                <w:rFonts w:ascii="Helvetica" w:eastAsia="Times New Roman" w:hAnsi="Helvetica" w:cs="Helvetica"/>
                <w:b/>
                <w:bCs/>
                <w:color w:val="000000"/>
              </w:rPr>
              <w:t>Estimate</w:t>
            </w:r>
          </w:p>
        </w:tc>
      </w:tr>
      <w:tr w:rsidR="00F20AF0" w:rsidRPr="00F20AF0" w14:paraId="5F835A93" w14:textId="77777777" w:rsidTr="00F20AF0">
        <w:trPr>
          <w:trHeight w:val="291"/>
          <w:jc w:val="center"/>
        </w:trPr>
        <w:tc>
          <w:tcPr>
            <w:tcW w:w="9516" w:type="dxa"/>
            <w:tcBorders>
              <w:top w:val="nil"/>
              <w:left w:val="single" w:sz="4" w:space="0" w:color="808080"/>
              <w:bottom w:val="single" w:sz="4" w:space="0" w:color="808080"/>
              <w:right w:val="single" w:sz="4" w:space="0" w:color="808080"/>
            </w:tcBorders>
            <w:shd w:val="clear" w:color="000000" w:fill="F5F5F5"/>
            <w:hideMark/>
          </w:tcPr>
          <w:p w14:paraId="49A6B530" w14:textId="77777777" w:rsidR="00F20AF0" w:rsidRPr="00F20AF0" w:rsidRDefault="00F20AF0" w:rsidP="00F20AF0">
            <w:pPr>
              <w:spacing w:after="0" w:line="240" w:lineRule="auto"/>
              <w:rPr>
                <w:rFonts w:ascii="Helvetica" w:eastAsia="Times New Roman" w:hAnsi="Helvetica" w:cs="Helvetica"/>
                <w:b/>
                <w:bCs/>
                <w:color w:val="000000"/>
              </w:rPr>
            </w:pPr>
            <w:r w:rsidRPr="00F20AF0">
              <w:rPr>
                <w:rFonts w:ascii="Helvetica" w:eastAsia="Times New Roman" w:hAnsi="Helvetica" w:cs="Helvetica"/>
                <w:b/>
                <w:bCs/>
                <w:color w:val="000000"/>
              </w:rPr>
              <w:t>Condominium and Cooperative Fee                                                        </w:t>
            </w:r>
          </w:p>
        </w:tc>
        <w:tc>
          <w:tcPr>
            <w:tcW w:w="1574" w:type="dxa"/>
            <w:tcBorders>
              <w:top w:val="nil"/>
              <w:left w:val="nil"/>
              <w:bottom w:val="single" w:sz="4" w:space="0" w:color="808080"/>
              <w:right w:val="single" w:sz="4" w:space="0" w:color="808080"/>
            </w:tcBorders>
            <w:shd w:val="clear" w:color="000000" w:fill="FFFFFF"/>
            <w:vAlign w:val="bottom"/>
            <w:hideMark/>
          </w:tcPr>
          <w:p w14:paraId="1B81D98B" w14:textId="77777777" w:rsidR="00F20AF0" w:rsidRPr="00F20AF0" w:rsidRDefault="00F20AF0" w:rsidP="00F20AF0">
            <w:pPr>
              <w:spacing w:after="0" w:line="240" w:lineRule="auto"/>
              <w:jc w:val="right"/>
              <w:rPr>
                <w:rFonts w:ascii="Helvetica" w:eastAsia="Times New Roman" w:hAnsi="Helvetica" w:cs="Helvetica"/>
                <w:color w:val="000000"/>
              </w:rPr>
            </w:pPr>
            <w:r w:rsidRPr="00F20AF0">
              <w:rPr>
                <w:rFonts w:ascii="Helvetica" w:eastAsia="Times New Roman" w:hAnsi="Helvetica" w:cs="Helvetica"/>
                <w:color w:val="000000"/>
              </w:rPr>
              <w:t xml:space="preserve">            </w:t>
            </w:r>
          </w:p>
        </w:tc>
      </w:tr>
      <w:tr w:rsidR="00F20AF0" w:rsidRPr="00F20AF0" w14:paraId="38118DFA" w14:textId="77777777" w:rsidTr="00F20AF0">
        <w:trPr>
          <w:trHeight w:val="309"/>
          <w:jc w:val="center"/>
        </w:trPr>
        <w:tc>
          <w:tcPr>
            <w:tcW w:w="9516" w:type="dxa"/>
            <w:tcBorders>
              <w:top w:val="nil"/>
              <w:left w:val="single" w:sz="4" w:space="0" w:color="808080"/>
              <w:bottom w:val="single" w:sz="4" w:space="0" w:color="808080"/>
              <w:right w:val="single" w:sz="4" w:space="0" w:color="808080"/>
            </w:tcBorders>
            <w:shd w:val="clear" w:color="000000" w:fill="FFFFFF"/>
            <w:hideMark/>
          </w:tcPr>
          <w:p w14:paraId="4D369244" w14:textId="77777777" w:rsidR="00F20AF0" w:rsidRPr="00F20AF0" w:rsidRDefault="00F20AF0" w:rsidP="00F20AF0">
            <w:pPr>
              <w:spacing w:after="0" w:line="240" w:lineRule="auto"/>
              <w:rPr>
                <w:rFonts w:ascii="Helvetica" w:eastAsia="Times New Roman" w:hAnsi="Helvetica" w:cs="Helvetica"/>
                <w:color w:val="000000"/>
              </w:rPr>
            </w:pPr>
            <w:r w:rsidRPr="00F20AF0">
              <w:rPr>
                <w:rFonts w:ascii="Helvetica" w:eastAsia="Times New Roman" w:hAnsi="Helvetica" w:cs="Helvetica"/>
                <w:color w:val="000000"/>
              </w:rPr>
              <w:t>                                                                                       </w:t>
            </w:r>
          </w:p>
        </w:tc>
        <w:tc>
          <w:tcPr>
            <w:tcW w:w="1574" w:type="dxa"/>
            <w:tcBorders>
              <w:top w:val="nil"/>
              <w:left w:val="nil"/>
              <w:bottom w:val="single" w:sz="4" w:space="0" w:color="808080"/>
              <w:right w:val="single" w:sz="4" w:space="0" w:color="808080"/>
            </w:tcBorders>
            <w:shd w:val="clear" w:color="000000" w:fill="FFFFFF"/>
            <w:vAlign w:val="bottom"/>
            <w:hideMark/>
          </w:tcPr>
          <w:p w14:paraId="419624E0" w14:textId="77777777" w:rsidR="00F20AF0" w:rsidRPr="00F20AF0" w:rsidRDefault="00F20AF0" w:rsidP="00F20AF0">
            <w:pPr>
              <w:spacing w:after="0" w:line="240" w:lineRule="auto"/>
              <w:jc w:val="right"/>
              <w:rPr>
                <w:rFonts w:ascii="Helvetica" w:eastAsia="Times New Roman" w:hAnsi="Helvetica" w:cs="Helvetica"/>
                <w:color w:val="000000"/>
              </w:rPr>
            </w:pPr>
            <w:r w:rsidRPr="00F20AF0">
              <w:rPr>
                <w:rFonts w:ascii="Helvetica" w:eastAsia="Times New Roman" w:hAnsi="Helvetica" w:cs="Helvetica"/>
                <w:color w:val="000000"/>
              </w:rPr>
              <w:t xml:space="preserve">            </w:t>
            </w:r>
          </w:p>
        </w:tc>
      </w:tr>
      <w:tr w:rsidR="00F20AF0" w:rsidRPr="00F20AF0" w14:paraId="11F6679F" w14:textId="77777777" w:rsidTr="00F20AF0">
        <w:trPr>
          <w:trHeight w:val="309"/>
          <w:jc w:val="center"/>
        </w:trPr>
        <w:tc>
          <w:tcPr>
            <w:tcW w:w="9516" w:type="dxa"/>
            <w:tcBorders>
              <w:top w:val="nil"/>
              <w:left w:val="single" w:sz="4" w:space="0" w:color="808080"/>
              <w:bottom w:val="single" w:sz="4" w:space="0" w:color="808080"/>
              <w:right w:val="single" w:sz="4" w:space="0" w:color="808080"/>
            </w:tcBorders>
            <w:shd w:val="clear" w:color="000000" w:fill="FFFFFF"/>
            <w:hideMark/>
          </w:tcPr>
          <w:p w14:paraId="1480792E" w14:textId="77777777" w:rsidR="00F20AF0" w:rsidRPr="00F20AF0" w:rsidRDefault="00F20AF0" w:rsidP="00F20AF0">
            <w:pPr>
              <w:spacing w:after="0" w:line="240" w:lineRule="auto"/>
              <w:rPr>
                <w:rFonts w:ascii="Helvetica" w:eastAsia="Times New Roman" w:hAnsi="Helvetica" w:cs="Helvetica"/>
                <w:color w:val="000000"/>
              </w:rPr>
            </w:pPr>
            <w:r w:rsidRPr="00F20AF0">
              <w:rPr>
                <w:rFonts w:ascii="Helvetica" w:eastAsia="Times New Roman" w:hAnsi="Helvetica" w:cs="Helvetica"/>
                <w:color w:val="000000"/>
              </w:rPr>
              <w:t>      Fee paid by owners                                                               </w:t>
            </w:r>
          </w:p>
        </w:tc>
        <w:tc>
          <w:tcPr>
            <w:tcW w:w="1574" w:type="dxa"/>
            <w:tcBorders>
              <w:top w:val="nil"/>
              <w:left w:val="nil"/>
              <w:bottom w:val="single" w:sz="4" w:space="0" w:color="808080"/>
              <w:right w:val="single" w:sz="4" w:space="0" w:color="808080"/>
            </w:tcBorders>
            <w:shd w:val="clear" w:color="000000" w:fill="FFFFFF"/>
            <w:vAlign w:val="bottom"/>
            <w:hideMark/>
          </w:tcPr>
          <w:p w14:paraId="1FB58685" w14:textId="77777777" w:rsidR="00F20AF0" w:rsidRPr="00F20AF0" w:rsidRDefault="00F20AF0" w:rsidP="00F20AF0">
            <w:pPr>
              <w:spacing w:after="0" w:line="240" w:lineRule="auto"/>
              <w:jc w:val="right"/>
              <w:rPr>
                <w:rFonts w:ascii="Helvetica" w:eastAsia="Times New Roman" w:hAnsi="Helvetica" w:cs="Helvetica"/>
                <w:color w:val="000000"/>
              </w:rPr>
            </w:pPr>
            <w:r w:rsidRPr="00F20AF0">
              <w:rPr>
                <w:rFonts w:ascii="Helvetica" w:eastAsia="Times New Roman" w:hAnsi="Helvetica" w:cs="Helvetica"/>
                <w:color w:val="000000"/>
              </w:rPr>
              <w:t>14.2</w:t>
            </w:r>
          </w:p>
        </w:tc>
      </w:tr>
      <w:tr w:rsidR="00F20AF0" w:rsidRPr="00F20AF0" w14:paraId="7F70030B" w14:textId="77777777" w:rsidTr="00F20AF0">
        <w:trPr>
          <w:trHeight w:val="309"/>
          <w:jc w:val="center"/>
        </w:trPr>
        <w:tc>
          <w:tcPr>
            <w:tcW w:w="9516" w:type="dxa"/>
            <w:tcBorders>
              <w:top w:val="nil"/>
              <w:left w:val="single" w:sz="4" w:space="0" w:color="808080"/>
              <w:bottom w:val="single" w:sz="4" w:space="0" w:color="808080"/>
              <w:right w:val="single" w:sz="4" w:space="0" w:color="808080"/>
            </w:tcBorders>
            <w:shd w:val="clear" w:color="000000" w:fill="FFFFFF"/>
            <w:hideMark/>
          </w:tcPr>
          <w:p w14:paraId="34F2074B" w14:textId="77777777" w:rsidR="00F20AF0" w:rsidRPr="00F20AF0" w:rsidRDefault="00F20AF0" w:rsidP="00F20AF0">
            <w:pPr>
              <w:spacing w:after="0" w:line="240" w:lineRule="auto"/>
              <w:rPr>
                <w:rFonts w:ascii="Helvetica" w:eastAsia="Times New Roman" w:hAnsi="Helvetica" w:cs="Helvetica"/>
                <w:color w:val="000000"/>
              </w:rPr>
            </w:pPr>
            <w:r w:rsidRPr="00F20AF0">
              <w:rPr>
                <w:rFonts w:ascii="Helvetica" w:eastAsia="Times New Roman" w:hAnsi="Helvetica" w:cs="Helvetica"/>
                <w:color w:val="000000"/>
              </w:rPr>
              <w:t>Less than $50 per month                                                                </w:t>
            </w:r>
          </w:p>
        </w:tc>
        <w:tc>
          <w:tcPr>
            <w:tcW w:w="1574" w:type="dxa"/>
            <w:tcBorders>
              <w:top w:val="nil"/>
              <w:left w:val="nil"/>
              <w:bottom w:val="single" w:sz="4" w:space="0" w:color="808080"/>
              <w:right w:val="single" w:sz="4" w:space="0" w:color="808080"/>
            </w:tcBorders>
            <w:shd w:val="clear" w:color="000000" w:fill="FFFFFF"/>
            <w:vAlign w:val="bottom"/>
            <w:hideMark/>
          </w:tcPr>
          <w:p w14:paraId="440E9B7E" w14:textId="77777777" w:rsidR="00F20AF0" w:rsidRPr="00F20AF0" w:rsidRDefault="00F20AF0" w:rsidP="00F20AF0">
            <w:pPr>
              <w:spacing w:after="0" w:line="240" w:lineRule="auto"/>
              <w:jc w:val="right"/>
              <w:rPr>
                <w:rFonts w:ascii="Helvetica" w:eastAsia="Times New Roman" w:hAnsi="Helvetica" w:cs="Helvetica"/>
                <w:color w:val="000000"/>
              </w:rPr>
            </w:pPr>
            <w:r w:rsidRPr="00F20AF0">
              <w:rPr>
                <w:rFonts w:ascii="Helvetica" w:eastAsia="Times New Roman" w:hAnsi="Helvetica" w:cs="Helvetica"/>
                <w:color w:val="000000"/>
              </w:rPr>
              <w:t>1.3</w:t>
            </w:r>
          </w:p>
        </w:tc>
      </w:tr>
      <w:tr w:rsidR="00F20AF0" w:rsidRPr="00F20AF0" w14:paraId="29F6540F" w14:textId="77777777" w:rsidTr="00F20AF0">
        <w:trPr>
          <w:trHeight w:val="309"/>
          <w:jc w:val="center"/>
        </w:trPr>
        <w:tc>
          <w:tcPr>
            <w:tcW w:w="9516" w:type="dxa"/>
            <w:tcBorders>
              <w:top w:val="nil"/>
              <w:left w:val="single" w:sz="4" w:space="0" w:color="808080"/>
              <w:bottom w:val="single" w:sz="4" w:space="0" w:color="808080"/>
              <w:right w:val="single" w:sz="4" w:space="0" w:color="808080"/>
            </w:tcBorders>
            <w:shd w:val="clear" w:color="000000" w:fill="FFFFFF"/>
            <w:hideMark/>
          </w:tcPr>
          <w:p w14:paraId="0731A7C6" w14:textId="77777777" w:rsidR="00F20AF0" w:rsidRPr="00F20AF0" w:rsidRDefault="00F20AF0" w:rsidP="00F20AF0">
            <w:pPr>
              <w:spacing w:after="0" w:line="240" w:lineRule="auto"/>
              <w:rPr>
                <w:rFonts w:ascii="Helvetica" w:eastAsia="Times New Roman" w:hAnsi="Helvetica" w:cs="Helvetica"/>
                <w:color w:val="000000"/>
              </w:rPr>
            </w:pPr>
            <w:r w:rsidRPr="00F20AF0">
              <w:rPr>
                <w:rFonts w:ascii="Helvetica" w:eastAsia="Times New Roman" w:hAnsi="Helvetica" w:cs="Helvetica"/>
                <w:color w:val="000000"/>
              </w:rPr>
              <w:t>$50 to $99                                                                             </w:t>
            </w:r>
          </w:p>
        </w:tc>
        <w:tc>
          <w:tcPr>
            <w:tcW w:w="1574" w:type="dxa"/>
            <w:tcBorders>
              <w:top w:val="nil"/>
              <w:left w:val="nil"/>
              <w:bottom w:val="single" w:sz="4" w:space="0" w:color="808080"/>
              <w:right w:val="single" w:sz="4" w:space="0" w:color="808080"/>
            </w:tcBorders>
            <w:shd w:val="clear" w:color="000000" w:fill="FFFFFF"/>
            <w:vAlign w:val="bottom"/>
            <w:hideMark/>
          </w:tcPr>
          <w:p w14:paraId="16FE0444" w14:textId="77777777" w:rsidR="00F20AF0" w:rsidRPr="00F20AF0" w:rsidRDefault="00F20AF0" w:rsidP="00F20AF0">
            <w:pPr>
              <w:spacing w:after="0" w:line="240" w:lineRule="auto"/>
              <w:jc w:val="right"/>
              <w:rPr>
                <w:rFonts w:ascii="Helvetica" w:eastAsia="Times New Roman" w:hAnsi="Helvetica" w:cs="Helvetica"/>
                <w:color w:val="000000"/>
              </w:rPr>
            </w:pPr>
            <w:r w:rsidRPr="00F20AF0">
              <w:rPr>
                <w:rFonts w:ascii="Helvetica" w:eastAsia="Times New Roman" w:hAnsi="Helvetica" w:cs="Helvetica"/>
                <w:color w:val="000000"/>
              </w:rPr>
              <w:t>1.1</w:t>
            </w:r>
          </w:p>
        </w:tc>
      </w:tr>
      <w:tr w:rsidR="00F20AF0" w:rsidRPr="00F20AF0" w14:paraId="3D65A959" w14:textId="77777777" w:rsidTr="00F20AF0">
        <w:trPr>
          <w:trHeight w:val="309"/>
          <w:jc w:val="center"/>
        </w:trPr>
        <w:tc>
          <w:tcPr>
            <w:tcW w:w="9516" w:type="dxa"/>
            <w:tcBorders>
              <w:top w:val="nil"/>
              <w:left w:val="single" w:sz="4" w:space="0" w:color="808080"/>
              <w:bottom w:val="single" w:sz="4" w:space="0" w:color="808080"/>
              <w:right w:val="single" w:sz="4" w:space="0" w:color="808080"/>
            </w:tcBorders>
            <w:shd w:val="clear" w:color="000000" w:fill="FFFFFF"/>
            <w:hideMark/>
          </w:tcPr>
          <w:p w14:paraId="6A03957E" w14:textId="77777777" w:rsidR="00F20AF0" w:rsidRPr="00F20AF0" w:rsidRDefault="00F20AF0" w:rsidP="00F20AF0">
            <w:pPr>
              <w:spacing w:after="0" w:line="240" w:lineRule="auto"/>
              <w:rPr>
                <w:rFonts w:ascii="Helvetica" w:eastAsia="Times New Roman" w:hAnsi="Helvetica" w:cs="Helvetica"/>
                <w:color w:val="000000"/>
              </w:rPr>
            </w:pPr>
            <w:r w:rsidRPr="00F20AF0">
              <w:rPr>
                <w:rFonts w:ascii="Helvetica" w:eastAsia="Times New Roman" w:hAnsi="Helvetica" w:cs="Helvetica"/>
                <w:color w:val="000000"/>
              </w:rPr>
              <w:t>$100 to $149                                                                           </w:t>
            </w:r>
          </w:p>
        </w:tc>
        <w:tc>
          <w:tcPr>
            <w:tcW w:w="1574" w:type="dxa"/>
            <w:tcBorders>
              <w:top w:val="nil"/>
              <w:left w:val="nil"/>
              <w:bottom w:val="single" w:sz="4" w:space="0" w:color="808080"/>
              <w:right w:val="single" w:sz="4" w:space="0" w:color="808080"/>
            </w:tcBorders>
            <w:shd w:val="clear" w:color="000000" w:fill="FFFFFF"/>
            <w:vAlign w:val="bottom"/>
            <w:hideMark/>
          </w:tcPr>
          <w:p w14:paraId="268AFF02" w14:textId="77777777" w:rsidR="00F20AF0" w:rsidRPr="00F20AF0" w:rsidRDefault="00F20AF0" w:rsidP="00F20AF0">
            <w:pPr>
              <w:spacing w:after="0" w:line="240" w:lineRule="auto"/>
              <w:jc w:val="right"/>
              <w:rPr>
                <w:rFonts w:ascii="Helvetica" w:eastAsia="Times New Roman" w:hAnsi="Helvetica" w:cs="Helvetica"/>
                <w:color w:val="000000"/>
              </w:rPr>
            </w:pPr>
            <w:r w:rsidRPr="00F20AF0">
              <w:rPr>
                <w:rFonts w:ascii="Helvetica" w:eastAsia="Times New Roman" w:hAnsi="Helvetica" w:cs="Helvetica"/>
                <w:color w:val="000000"/>
              </w:rPr>
              <w:t>1.1</w:t>
            </w:r>
          </w:p>
        </w:tc>
      </w:tr>
      <w:tr w:rsidR="00F20AF0" w:rsidRPr="00F20AF0" w14:paraId="72F7BC3E" w14:textId="77777777" w:rsidTr="00F20AF0">
        <w:trPr>
          <w:trHeight w:val="309"/>
          <w:jc w:val="center"/>
        </w:trPr>
        <w:tc>
          <w:tcPr>
            <w:tcW w:w="9516" w:type="dxa"/>
            <w:tcBorders>
              <w:top w:val="nil"/>
              <w:left w:val="single" w:sz="4" w:space="0" w:color="808080"/>
              <w:bottom w:val="single" w:sz="4" w:space="0" w:color="808080"/>
              <w:right w:val="single" w:sz="4" w:space="0" w:color="808080"/>
            </w:tcBorders>
            <w:shd w:val="clear" w:color="000000" w:fill="FFFFFF"/>
            <w:hideMark/>
          </w:tcPr>
          <w:p w14:paraId="001E88F6" w14:textId="77777777" w:rsidR="00F20AF0" w:rsidRPr="00F20AF0" w:rsidRDefault="00F20AF0" w:rsidP="00F20AF0">
            <w:pPr>
              <w:spacing w:after="0" w:line="240" w:lineRule="auto"/>
              <w:rPr>
                <w:rFonts w:ascii="Helvetica" w:eastAsia="Times New Roman" w:hAnsi="Helvetica" w:cs="Helvetica"/>
                <w:color w:val="000000"/>
              </w:rPr>
            </w:pPr>
            <w:r w:rsidRPr="00F20AF0">
              <w:rPr>
                <w:rFonts w:ascii="Helvetica" w:eastAsia="Times New Roman" w:hAnsi="Helvetica" w:cs="Helvetica"/>
                <w:color w:val="000000"/>
              </w:rPr>
              <w:t>$150 to $199                                                                           </w:t>
            </w:r>
          </w:p>
        </w:tc>
        <w:tc>
          <w:tcPr>
            <w:tcW w:w="1574" w:type="dxa"/>
            <w:tcBorders>
              <w:top w:val="nil"/>
              <w:left w:val="nil"/>
              <w:bottom w:val="single" w:sz="4" w:space="0" w:color="808080"/>
              <w:right w:val="single" w:sz="4" w:space="0" w:color="808080"/>
            </w:tcBorders>
            <w:shd w:val="clear" w:color="000000" w:fill="FFFFFF"/>
            <w:vAlign w:val="bottom"/>
            <w:hideMark/>
          </w:tcPr>
          <w:p w14:paraId="2E78FFBD" w14:textId="77777777" w:rsidR="00F20AF0" w:rsidRPr="00F20AF0" w:rsidRDefault="00F20AF0" w:rsidP="00F20AF0">
            <w:pPr>
              <w:spacing w:after="0" w:line="240" w:lineRule="auto"/>
              <w:jc w:val="right"/>
              <w:rPr>
                <w:rFonts w:ascii="Helvetica" w:eastAsia="Times New Roman" w:hAnsi="Helvetica" w:cs="Helvetica"/>
                <w:color w:val="000000"/>
              </w:rPr>
            </w:pPr>
            <w:r w:rsidRPr="00F20AF0">
              <w:rPr>
                <w:rFonts w:ascii="Helvetica" w:eastAsia="Times New Roman" w:hAnsi="Helvetica" w:cs="Helvetica"/>
                <w:color w:val="000000"/>
              </w:rPr>
              <w:t>1.6</w:t>
            </w:r>
          </w:p>
        </w:tc>
      </w:tr>
      <w:tr w:rsidR="00F20AF0" w:rsidRPr="00F20AF0" w14:paraId="1AD60FDF" w14:textId="77777777" w:rsidTr="00F20AF0">
        <w:trPr>
          <w:trHeight w:val="309"/>
          <w:jc w:val="center"/>
        </w:trPr>
        <w:tc>
          <w:tcPr>
            <w:tcW w:w="9516" w:type="dxa"/>
            <w:tcBorders>
              <w:top w:val="nil"/>
              <w:left w:val="single" w:sz="4" w:space="0" w:color="808080"/>
              <w:bottom w:val="single" w:sz="4" w:space="0" w:color="808080"/>
              <w:right w:val="single" w:sz="4" w:space="0" w:color="808080"/>
            </w:tcBorders>
            <w:shd w:val="clear" w:color="000000" w:fill="FFFFFF"/>
            <w:hideMark/>
          </w:tcPr>
          <w:p w14:paraId="24FD82CC" w14:textId="77777777" w:rsidR="00F20AF0" w:rsidRPr="00F20AF0" w:rsidRDefault="00F20AF0" w:rsidP="00F20AF0">
            <w:pPr>
              <w:spacing w:after="0" w:line="240" w:lineRule="auto"/>
              <w:rPr>
                <w:rFonts w:ascii="Helvetica" w:eastAsia="Times New Roman" w:hAnsi="Helvetica" w:cs="Helvetica"/>
                <w:color w:val="000000"/>
              </w:rPr>
            </w:pPr>
            <w:r w:rsidRPr="00F20AF0">
              <w:rPr>
                <w:rFonts w:ascii="Helvetica" w:eastAsia="Times New Roman" w:hAnsi="Helvetica" w:cs="Helvetica"/>
                <w:color w:val="000000"/>
              </w:rPr>
              <w:t>$200 to $299                                                                           </w:t>
            </w:r>
          </w:p>
        </w:tc>
        <w:tc>
          <w:tcPr>
            <w:tcW w:w="1574" w:type="dxa"/>
            <w:tcBorders>
              <w:top w:val="nil"/>
              <w:left w:val="nil"/>
              <w:bottom w:val="single" w:sz="4" w:space="0" w:color="808080"/>
              <w:right w:val="single" w:sz="4" w:space="0" w:color="808080"/>
            </w:tcBorders>
            <w:shd w:val="clear" w:color="000000" w:fill="FFFFFF"/>
            <w:vAlign w:val="bottom"/>
            <w:hideMark/>
          </w:tcPr>
          <w:p w14:paraId="2C8F91B8" w14:textId="77777777" w:rsidR="00F20AF0" w:rsidRPr="00F20AF0" w:rsidRDefault="00F20AF0" w:rsidP="00F20AF0">
            <w:pPr>
              <w:spacing w:after="0" w:line="240" w:lineRule="auto"/>
              <w:jc w:val="right"/>
              <w:rPr>
                <w:rFonts w:ascii="Helvetica" w:eastAsia="Times New Roman" w:hAnsi="Helvetica" w:cs="Helvetica"/>
                <w:color w:val="000000"/>
              </w:rPr>
            </w:pPr>
            <w:r w:rsidRPr="00F20AF0">
              <w:rPr>
                <w:rFonts w:ascii="Helvetica" w:eastAsia="Times New Roman" w:hAnsi="Helvetica" w:cs="Helvetica"/>
                <w:color w:val="000000"/>
              </w:rPr>
              <w:t>4.7</w:t>
            </w:r>
          </w:p>
        </w:tc>
      </w:tr>
      <w:tr w:rsidR="00F20AF0" w:rsidRPr="00F20AF0" w14:paraId="4F9C6975" w14:textId="77777777" w:rsidTr="00F20AF0">
        <w:trPr>
          <w:trHeight w:val="309"/>
          <w:jc w:val="center"/>
        </w:trPr>
        <w:tc>
          <w:tcPr>
            <w:tcW w:w="9516" w:type="dxa"/>
            <w:tcBorders>
              <w:top w:val="nil"/>
              <w:left w:val="single" w:sz="4" w:space="0" w:color="808080"/>
              <w:bottom w:val="single" w:sz="4" w:space="0" w:color="808080"/>
              <w:right w:val="single" w:sz="4" w:space="0" w:color="808080"/>
            </w:tcBorders>
            <w:shd w:val="clear" w:color="000000" w:fill="FFFFFF"/>
            <w:hideMark/>
          </w:tcPr>
          <w:p w14:paraId="212B9131" w14:textId="77777777" w:rsidR="00F20AF0" w:rsidRPr="00F20AF0" w:rsidRDefault="00F20AF0" w:rsidP="00F20AF0">
            <w:pPr>
              <w:spacing w:after="0" w:line="240" w:lineRule="auto"/>
              <w:rPr>
                <w:rFonts w:ascii="Helvetica" w:eastAsia="Times New Roman" w:hAnsi="Helvetica" w:cs="Helvetica"/>
                <w:color w:val="000000"/>
              </w:rPr>
            </w:pPr>
            <w:r w:rsidRPr="00F20AF0">
              <w:rPr>
                <w:rFonts w:ascii="Helvetica" w:eastAsia="Times New Roman" w:hAnsi="Helvetica" w:cs="Helvetica"/>
                <w:color w:val="000000"/>
              </w:rPr>
              <w:t>$300 to $499                                                                           </w:t>
            </w:r>
          </w:p>
        </w:tc>
        <w:tc>
          <w:tcPr>
            <w:tcW w:w="1574" w:type="dxa"/>
            <w:tcBorders>
              <w:top w:val="nil"/>
              <w:left w:val="nil"/>
              <w:bottom w:val="single" w:sz="4" w:space="0" w:color="808080"/>
              <w:right w:val="single" w:sz="4" w:space="0" w:color="808080"/>
            </w:tcBorders>
            <w:shd w:val="clear" w:color="000000" w:fill="FFFFFF"/>
            <w:vAlign w:val="bottom"/>
            <w:hideMark/>
          </w:tcPr>
          <w:p w14:paraId="1F6DBA9A" w14:textId="77777777" w:rsidR="00F20AF0" w:rsidRPr="00F20AF0" w:rsidRDefault="00F20AF0" w:rsidP="00F20AF0">
            <w:pPr>
              <w:spacing w:after="0" w:line="240" w:lineRule="auto"/>
              <w:jc w:val="right"/>
              <w:rPr>
                <w:rFonts w:ascii="Helvetica" w:eastAsia="Times New Roman" w:hAnsi="Helvetica" w:cs="Helvetica"/>
                <w:color w:val="000000"/>
              </w:rPr>
            </w:pPr>
            <w:r w:rsidRPr="00F20AF0">
              <w:rPr>
                <w:rFonts w:ascii="Helvetica" w:eastAsia="Times New Roman" w:hAnsi="Helvetica" w:cs="Helvetica"/>
                <w:color w:val="000000"/>
              </w:rPr>
              <w:t>0.9</w:t>
            </w:r>
          </w:p>
        </w:tc>
      </w:tr>
      <w:tr w:rsidR="00F20AF0" w:rsidRPr="00F20AF0" w14:paraId="0FE6661B" w14:textId="77777777" w:rsidTr="00F20AF0">
        <w:trPr>
          <w:trHeight w:val="309"/>
          <w:jc w:val="center"/>
        </w:trPr>
        <w:tc>
          <w:tcPr>
            <w:tcW w:w="9516" w:type="dxa"/>
            <w:tcBorders>
              <w:top w:val="nil"/>
              <w:left w:val="single" w:sz="4" w:space="0" w:color="808080"/>
              <w:bottom w:val="single" w:sz="4" w:space="0" w:color="808080"/>
              <w:right w:val="single" w:sz="4" w:space="0" w:color="808080"/>
            </w:tcBorders>
            <w:shd w:val="clear" w:color="000000" w:fill="FFFFFF"/>
            <w:hideMark/>
          </w:tcPr>
          <w:p w14:paraId="3E867A3B" w14:textId="77777777" w:rsidR="00F20AF0" w:rsidRPr="00F20AF0" w:rsidRDefault="00F20AF0" w:rsidP="00F20AF0">
            <w:pPr>
              <w:spacing w:after="0" w:line="240" w:lineRule="auto"/>
              <w:rPr>
                <w:rFonts w:ascii="Helvetica" w:eastAsia="Times New Roman" w:hAnsi="Helvetica" w:cs="Helvetica"/>
                <w:color w:val="000000"/>
              </w:rPr>
            </w:pPr>
            <w:r w:rsidRPr="00F20AF0">
              <w:rPr>
                <w:rFonts w:ascii="Helvetica" w:eastAsia="Times New Roman" w:hAnsi="Helvetica" w:cs="Helvetica"/>
                <w:color w:val="000000"/>
              </w:rPr>
              <w:t>$500 or more per month                                                                 </w:t>
            </w:r>
          </w:p>
        </w:tc>
        <w:tc>
          <w:tcPr>
            <w:tcW w:w="1574" w:type="dxa"/>
            <w:tcBorders>
              <w:top w:val="nil"/>
              <w:left w:val="nil"/>
              <w:bottom w:val="single" w:sz="4" w:space="0" w:color="808080"/>
              <w:right w:val="single" w:sz="4" w:space="0" w:color="808080"/>
            </w:tcBorders>
            <w:shd w:val="clear" w:color="000000" w:fill="FFFFFF"/>
            <w:vAlign w:val="bottom"/>
            <w:hideMark/>
          </w:tcPr>
          <w:p w14:paraId="480C0346" w14:textId="77777777" w:rsidR="00F20AF0" w:rsidRPr="00F20AF0" w:rsidRDefault="00F20AF0" w:rsidP="00F20AF0">
            <w:pPr>
              <w:spacing w:after="0" w:line="240" w:lineRule="auto"/>
              <w:jc w:val="right"/>
              <w:rPr>
                <w:rFonts w:ascii="Helvetica" w:eastAsia="Times New Roman" w:hAnsi="Helvetica" w:cs="Helvetica"/>
                <w:color w:val="000000"/>
              </w:rPr>
            </w:pPr>
            <w:r w:rsidRPr="00F20AF0">
              <w:rPr>
                <w:rFonts w:ascii="Helvetica" w:eastAsia="Times New Roman" w:hAnsi="Helvetica" w:cs="Helvetica"/>
                <w:color w:val="000000"/>
              </w:rPr>
              <w:t>0.7</w:t>
            </w:r>
          </w:p>
        </w:tc>
      </w:tr>
      <w:tr w:rsidR="00F20AF0" w:rsidRPr="00F20AF0" w14:paraId="633424D8" w14:textId="77777777" w:rsidTr="00F20AF0">
        <w:trPr>
          <w:trHeight w:val="309"/>
          <w:jc w:val="center"/>
        </w:trPr>
        <w:tc>
          <w:tcPr>
            <w:tcW w:w="9516" w:type="dxa"/>
            <w:tcBorders>
              <w:top w:val="nil"/>
              <w:left w:val="single" w:sz="4" w:space="0" w:color="808080"/>
              <w:bottom w:val="single" w:sz="4" w:space="0" w:color="808080"/>
              <w:right w:val="single" w:sz="4" w:space="0" w:color="808080"/>
            </w:tcBorders>
            <w:shd w:val="clear" w:color="000000" w:fill="FFFFFF"/>
            <w:hideMark/>
          </w:tcPr>
          <w:p w14:paraId="14E7CCD6" w14:textId="77777777" w:rsidR="00F20AF0" w:rsidRPr="00F20AF0" w:rsidRDefault="00F20AF0" w:rsidP="00F20AF0">
            <w:pPr>
              <w:spacing w:after="0" w:line="240" w:lineRule="auto"/>
              <w:rPr>
                <w:rFonts w:ascii="Helvetica" w:eastAsia="Times New Roman" w:hAnsi="Helvetica" w:cs="Helvetica"/>
                <w:color w:val="000000"/>
              </w:rPr>
            </w:pPr>
            <w:r w:rsidRPr="00F20AF0">
              <w:rPr>
                <w:rFonts w:ascii="Helvetica" w:eastAsia="Times New Roman" w:hAnsi="Helvetica" w:cs="Helvetica"/>
                <w:color w:val="000000"/>
              </w:rPr>
              <w:t>Not reported                                                                           </w:t>
            </w:r>
          </w:p>
        </w:tc>
        <w:tc>
          <w:tcPr>
            <w:tcW w:w="1574" w:type="dxa"/>
            <w:tcBorders>
              <w:top w:val="nil"/>
              <w:left w:val="nil"/>
              <w:bottom w:val="single" w:sz="4" w:space="0" w:color="808080"/>
              <w:right w:val="single" w:sz="4" w:space="0" w:color="808080"/>
            </w:tcBorders>
            <w:shd w:val="clear" w:color="000000" w:fill="FFFFFF"/>
            <w:vAlign w:val="bottom"/>
            <w:hideMark/>
          </w:tcPr>
          <w:p w14:paraId="1BA9FBF8" w14:textId="77777777" w:rsidR="00F20AF0" w:rsidRPr="00F20AF0" w:rsidRDefault="00F20AF0" w:rsidP="00F20AF0">
            <w:pPr>
              <w:spacing w:after="0" w:line="240" w:lineRule="auto"/>
              <w:jc w:val="right"/>
              <w:rPr>
                <w:rFonts w:ascii="Helvetica" w:eastAsia="Times New Roman" w:hAnsi="Helvetica" w:cs="Helvetica"/>
                <w:color w:val="000000"/>
              </w:rPr>
            </w:pPr>
            <w:r w:rsidRPr="00F20AF0">
              <w:rPr>
                <w:rFonts w:ascii="Helvetica" w:eastAsia="Times New Roman" w:hAnsi="Helvetica" w:cs="Helvetica"/>
                <w:color w:val="000000"/>
              </w:rPr>
              <w:t>2.7</w:t>
            </w:r>
          </w:p>
        </w:tc>
      </w:tr>
      <w:tr w:rsidR="00F20AF0" w:rsidRPr="00F20AF0" w14:paraId="50EF0C26" w14:textId="77777777" w:rsidTr="00F20AF0">
        <w:trPr>
          <w:trHeight w:val="291"/>
          <w:jc w:val="center"/>
        </w:trPr>
        <w:tc>
          <w:tcPr>
            <w:tcW w:w="9516" w:type="dxa"/>
            <w:tcBorders>
              <w:top w:val="nil"/>
              <w:left w:val="single" w:sz="4" w:space="0" w:color="808080"/>
              <w:bottom w:val="single" w:sz="4" w:space="0" w:color="808080"/>
              <w:right w:val="single" w:sz="4" w:space="0" w:color="808080"/>
            </w:tcBorders>
            <w:shd w:val="clear" w:color="000000" w:fill="FFFFFF"/>
            <w:hideMark/>
          </w:tcPr>
          <w:p w14:paraId="627664CF" w14:textId="77777777" w:rsidR="00F20AF0" w:rsidRPr="00F20AF0" w:rsidRDefault="00F20AF0" w:rsidP="00F20AF0">
            <w:pPr>
              <w:spacing w:after="0" w:line="240" w:lineRule="auto"/>
              <w:rPr>
                <w:rFonts w:ascii="Helvetica" w:eastAsia="Times New Roman" w:hAnsi="Helvetica" w:cs="Helvetica"/>
                <w:b/>
                <w:bCs/>
                <w:color w:val="000000"/>
              </w:rPr>
            </w:pPr>
            <w:r w:rsidRPr="00F20AF0">
              <w:rPr>
                <w:rFonts w:ascii="Helvetica" w:eastAsia="Times New Roman" w:hAnsi="Helvetica" w:cs="Helvetica"/>
                <w:b/>
                <w:bCs/>
                <w:color w:val="000000"/>
              </w:rPr>
              <w:t>Median (dollars per </w:t>
            </w:r>
            <w:proofErr w:type="gramStart"/>
            <w:r w:rsidRPr="00F20AF0">
              <w:rPr>
                <w:rFonts w:ascii="Helvetica" w:eastAsia="Times New Roman" w:hAnsi="Helvetica" w:cs="Helvetica"/>
                <w:b/>
                <w:bCs/>
                <w:color w:val="000000"/>
              </w:rPr>
              <w:t>month)   </w:t>
            </w:r>
            <w:proofErr w:type="gramEnd"/>
            <w:r w:rsidRPr="00F20AF0">
              <w:rPr>
                <w:rFonts w:ascii="Helvetica" w:eastAsia="Times New Roman" w:hAnsi="Helvetica" w:cs="Helvetica"/>
                <w:b/>
                <w:bCs/>
                <w:color w:val="000000"/>
              </w:rPr>
              <w:t>                                                          </w:t>
            </w:r>
          </w:p>
        </w:tc>
        <w:tc>
          <w:tcPr>
            <w:tcW w:w="1574" w:type="dxa"/>
            <w:tcBorders>
              <w:top w:val="nil"/>
              <w:left w:val="nil"/>
              <w:bottom w:val="single" w:sz="4" w:space="0" w:color="808080"/>
              <w:right w:val="single" w:sz="4" w:space="0" w:color="808080"/>
            </w:tcBorders>
            <w:shd w:val="clear" w:color="000000" w:fill="FFFFFF"/>
            <w:vAlign w:val="bottom"/>
            <w:hideMark/>
          </w:tcPr>
          <w:p w14:paraId="73063A14" w14:textId="77777777" w:rsidR="00F20AF0" w:rsidRPr="00F20AF0" w:rsidRDefault="00F20AF0" w:rsidP="00F20AF0">
            <w:pPr>
              <w:spacing w:after="0" w:line="240" w:lineRule="auto"/>
              <w:jc w:val="right"/>
              <w:rPr>
                <w:rFonts w:ascii="Helvetica" w:eastAsia="Times New Roman" w:hAnsi="Helvetica" w:cs="Helvetica"/>
                <w:color w:val="000000"/>
              </w:rPr>
            </w:pPr>
            <w:r w:rsidRPr="00F20AF0">
              <w:rPr>
                <w:rFonts w:ascii="Helvetica" w:eastAsia="Times New Roman" w:hAnsi="Helvetica" w:cs="Helvetica"/>
                <w:color w:val="000000"/>
              </w:rPr>
              <w:t>215.0</w:t>
            </w:r>
          </w:p>
        </w:tc>
      </w:tr>
    </w:tbl>
    <w:p w14:paraId="07AACE5E" w14:textId="6FE67EC4" w:rsidR="00F20AF0" w:rsidRDefault="00F20AF0" w:rsidP="00FA487B">
      <w:pPr>
        <w:rPr>
          <w:rFonts w:ascii="Times New Roman" w:hAnsi="Times New Roman" w:cs="Times New Roman"/>
          <w:sz w:val="24"/>
          <w:szCs w:val="24"/>
        </w:rPr>
      </w:pPr>
    </w:p>
    <w:p w14:paraId="789A1106" w14:textId="498BFBB4" w:rsidR="003C5325" w:rsidRDefault="003C5325" w:rsidP="00FA487B">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3C5325" w:rsidRPr="003C5325" w14:paraId="4EFDAB80" w14:textId="77777777" w:rsidTr="003C5325">
        <w:trPr>
          <w:trHeight w:val="759"/>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3D144DE9" w14:textId="77777777" w:rsidR="003C5325" w:rsidRPr="003C5325" w:rsidRDefault="003C5325" w:rsidP="003C5325">
            <w:pPr>
              <w:spacing w:after="0" w:line="240" w:lineRule="auto"/>
              <w:jc w:val="center"/>
              <w:rPr>
                <w:rFonts w:ascii="Helvetica" w:eastAsia="Times New Roman" w:hAnsi="Helvetica" w:cs="Helvetica"/>
                <w:color w:val="000000"/>
                <w:sz w:val="25"/>
                <w:szCs w:val="25"/>
              </w:rPr>
            </w:pPr>
            <w:r w:rsidRPr="003C5325">
              <w:rPr>
                <w:rFonts w:ascii="Helvetica" w:eastAsia="Times New Roman" w:hAnsi="Helvetica" w:cs="Helvetica"/>
                <w:color w:val="000000"/>
                <w:sz w:val="25"/>
                <w:szCs w:val="25"/>
              </w:rPr>
              <w:t xml:space="preserve">2019 Dallas - Housing Costs - All Occupied Units    </w:t>
            </w:r>
            <w:r w:rsidRPr="003C5325">
              <w:rPr>
                <w:rFonts w:ascii="Helvetica" w:eastAsia="Times New Roman" w:hAnsi="Helvetica" w:cs="Helvetica"/>
                <w:color w:val="000000"/>
                <w:sz w:val="25"/>
                <w:szCs w:val="25"/>
              </w:rPr>
              <w:br/>
              <w:t>Dallas-Fort Worth-Arlington, TX MSA (2013 OMB definition)</w:t>
            </w:r>
          </w:p>
        </w:tc>
      </w:tr>
      <w:tr w:rsidR="003C5325" w:rsidRPr="003C5325" w14:paraId="1973997A" w14:textId="77777777" w:rsidTr="003C5325">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74A92EC1" w14:textId="77777777" w:rsidR="003C5325" w:rsidRPr="003C5325" w:rsidRDefault="003C5325" w:rsidP="003C5325">
            <w:pPr>
              <w:spacing w:after="0" w:line="240" w:lineRule="auto"/>
              <w:rPr>
                <w:rFonts w:ascii="Helvetica" w:eastAsia="Times New Roman" w:hAnsi="Helvetica" w:cs="Helvetica"/>
                <w:b/>
                <w:bCs/>
                <w:color w:val="000000"/>
                <w:sz w:val="16"/>
                <w:szCs w:val="16"/>
              </w:rPr>
            </w:pPr>
            <w:r w:rsidRPr="003C5325">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3C5325" w:rsidRPr="003C5325" w14:paraId="0B71DC3F" w14:textId="77777777" w:rsidTr="003C5325">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02D39E70" w14:textId="77777777" w:rsidR="003C5325" w:rsidRPr="003C5325" w:rsidRDefault="00235B6F" w:rsidP="003C5325">
            <w:pPr>
              <w:spacing w:after="0" w:line="240" w:lineRule="auto"/>
              <w:jc w:val="center"/>
              <w:rPr>
                <w:rFonts w:ascii="Helvetica" w:eastAsia="Times New Roman" w:hAnsi="Helvetica" w:cs="Helvetica"/>
                <w:b/>
                <w:bCs/>
                <w:color w:val="0000FF"/>
                <w:sz w:val="18"/>
                <w:szCs w:val="18"/>
                <w:u w:val="single"/>
              </w:rPr>
            </w:pPr>
            <w:hyperlink r:id="rId13" w:history="1">
              <w:r w:rsidR="003C5325" w:rsidRPr="003C5325">
                <w:rPr>
                  <w:rFonts w:ascii="Helvetica" w:eastAsia="Times New Roman" w:hAnsi="Helvetica" w:cs="Helvetica"/>
                  <w:b/>
                  <w:bCs/>
                  <w:color w:val="0000FF"/>
                  <w:sz w:val="18"/>
                  <w:szCs w:val="18"/>
                  <w:u w:val="single"/>
                </w:rPr>
                <w:t>Subject Definitions</w:t>
              </w:r>
            </w:hyperlink>
          </w:p>
        </w:tc>
      </w:tr>
      <w:tr w:rsidR="003C5325" w:rsidRPr="003C5325" w14:paraId="679AD2B9" w14:textId="77777777" w:rsidTr="003C5325">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2A1B2127" w14:textId="77777777" w:rsidR="003C5325" w:rsidRPr="003C5325" w:rsidRDefault="003C5325" w:rsidP="003C5325">
            <w:pPr>
              <w:spacing w:after="0" w:line="240" w:lineRule="auto"/>
              <w:rPr>
                <w:rFonts w:ascii="Helvetica" w:eastAsia="Times New Roman" w:hAnsi="Helvetica" w:cs="Helvetica"/>
                <w:color w:val="000000"/>
              </w:rPr>
            </w:pPr>
            <w:r w:rsidRPr="003C5325">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6DD38B7B" w14:textId="77777777" w:rsidR="003C5325" w:rsidRPr="003C5325" w:rsidRDefault="003C5325" w:rsidP="003C5325">
            <w:pPr>
              <w:spacing w:after="0" w:line="240" w:lineRule="auto"/>
              <w:rPr>
                <w:rFonts w:ascii="Helvetica" w:eastAsia="Times New Roman" w:hAnsi="Helvetica" w:cs="Helvetica"/>
                <w:color w:val="000000"/>
              </w:rPr>
            </w:pPr>
            <w:r w:rsidRPr="003C5325">
              <w:rPr>
                <w:rFonts w:ascii="Helvetica" w:eastAsia="Times New Roman" w:hAnsi="Helvetica" w:cs="Helvetica"/>
                <w:color w:val="000000"/>
              </w:rPr>
              <w:t> </w:t>
            </w:r>
          </w:p>
        </w:tc>
      </w:tr>
      <w:tr w:rsidR="003C5325" w:rsidRPr="003C5325" w14:paraId="5600465E" w14:textId="77777777" w:rsidTr="003C5325">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3992EE21" w14:textId="77777777" w:rsidR="003C5325" w:rsidRPr="003C5325" w:rsidRDefault="003C5325" w:rsidP="003C5325">
            <w:pPr>
              <w:spacing w:after="0" w:line="240" w:lineRule="auto"/>
              <w:jc w:val="center"/>
              <w:rPr>
                <w:rFonts w:ascii="Helvetica" w:eastAsia="Times New Roman" w:hAnsi="Helvetica" w:cs="Helvetica"/>
                <w:b/>
                <w:bCs/>
                <w:color w:val="000000"/>
              </w:rPr>
            </w:pPr>
            <w:r w:rsidRPr="003C5325">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54C6498B" w14:textId="77777777" w:rsidR="003C5325" w:rsidRPr="003C5325" w:rsidRDefault="003C5325" w:rsidP="003C5325">
            <w:pPr>
              <w:spacing w:after="0" w:line="240" w:lineRule="auto"/>
              <w:jc w:val="center"/>
              <w:rPr>
                <w:rFonts w:ascii="Helvetica" w:eastAsia="Times New Roman" w:hAnsi="Helvetica" w:cs="Helvetica"/>
                <w:b/>
                <w:bCs/>
                <w:color w:val="000000"/>
              </w:rPr>
            </w:pPr>
            <w:r w:rsidRPr="003C5325">
              <w:rPr>
                <w:rFonts w:ascii="Helvetica" w:eastAsia="Times New Roman" w:hAnsi="Helvetica" w:cs="Helvetica"/>
                <w:b/>
                <w:bCs/>
                <w:color w:val="000000"/>
              </w:rPr>
              <w:t>Estimate</w:t>
            </w:r>
          </w:p>
        </w:tc>
      </w:tr>
      <w:tr w:rsidR="003C5325" w:rsidRPr="003C5325" w14:paraId="49E2FFC8" w14:textId="77777777" w:rsidTr="003C5325">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63985B10" w14:textId="77777777" w:rsidR="003C5325" w:rsidRPr="003C5325" w:rsidRDefault="003C5325" w:rsidP="003C5325">
            <w:pPr>
              <w:spacing w:after="0" w:line="240" w:lineRule="auto"/>
              <w:rPr>
                <w:rFonts w:ascii="Helvetica" w:eastAsia="Times New Roman" w:hAnsi="Helvetica" w:cs="Helvetica"/>
                <w:b/>
                <w:bCs/>
                <w:color w:val="000000"/>
              </w:rPr>
            </w:pPr>
            <w:r w:rsidRPr="003C5325">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66EA69A0" w14:textId="77777777" w:rsidR="003C5325" w:rsidRPr="003C5325" w:rsidRDefault="003C5325" w:rsidP="003C5325">
            <w:pPr>
              <w:spacing w:after="0" w:line="240" w:lineRule="auto"/>
              <w:jc w:val="right"/>
              <w:rPr>
                <w:rFonts w:ascii="Helvetica" w:eastAsia="Times New Roman" w:hAnsi="Helvetica" w:cs="Helvetica"/>
                <w:color w:val="000000"/>
              </w:rPr>
            </w:pPr>
            <w:r w:rsidRPr="003C5325">
              <w:rPr>
                <w:rFonts w:ascii="Helvetica" w:eastAsia="Times New Roman" w:hAnsi="Helvetica" w:cs="Helvetica"/>
                <w:color w:val="000000"/>
              </w:rPr>
              <w:t xml:space="preserve">            </w:t>
            </w:r>
          </w:p>
        </w:tc>
      </w:tr>
      <w:tr w:rsidR="003C5325" w:rsidRPr="003C5325" w14:paraId="0DD292E1" w14:textId="77777777" w:rsidTr="003C5325">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47B81A3" w14:textId="77777777" w:rsidR="003C5325" w:rsidRPr="003C5325" w:rsidRDefault="003C5325" w:rsidP="003C5325">
            <w:pPr>
              <w:spacing w:after="0" w:line="240" w:lineRule="auto"/>
              <w:rPr>
                <w:rFonts w:ascii="Helvetica" w:eastAsia="Times New Roman" w:hAnsi="Helvetica" w:cs="Helvetica"/>
                <w:color w:val="000000"/>
              </w:rPr>
            </w:pPr>
            <w:r w:rsidRPr="003C5325">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312905DC" w14:textId="77777777" w:rsidR="003C5325" w:rsidRPr="003C5325" w:rsidRDefault="003C5325" w:rsidP="003C5325">
            <w:pPr>
              <w:spacing w:after="0" w:line="240" w:lineRule="auto"/>
              <w:jc w:val="right"/>
              <w:rPr>
                <w:rFonts w:ascii="Helvetica" w:eastAsia="Times New Roman" w:hAnsi="Helvetica" w:cs="Helvetica"/>
                <w:color w:val="000000"/>
              </w:rPr>
            </w:pPr>
            <w:r w:rsidRPr="003C5325">
              <w:rPr>
                <w:rFonts w:ascii="Helvetica" w:eastAsia="Times New Roman" w:hAnsi="Helvetica" w:cs="Helvetica"/>
                <w:color w:val="000000"/>
              </w:rPr>
              <w:t xml:space="preserve">            </w:t>
            </w:r>
          </w:p>
        </w:tc>
      </w:tr>
      <w:tr w:rsidR="003C5325" w:rsidRPr="003C5325" w14:paraId="39F9566C" w14:textId="77777777" w:rsidTr="003C5325">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2597FED" w14:textId="77777777" w:rsidR="003C5325" w:rsidRPr="003C5325" w:rsidRDefault="003C5325" w:rsidP="003C5325">
            <w:pPr>
              <w:spacing w:after="0" w:line="240" w:lineRule="auto"/>
              <w:rPr>
                <w:rFonts w:ascii="Helvetica" w:eastAsia="Times New Roman" w:hAnsi="Helvetica" w:cs="Helvetica"/>
                <w:color w:val="000000"/>
              </w:rPr>
            </w:pPr>
            <w:r w:rsidRPr="003C5325">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1E8D9E29" w14:textId="77777777" w:rsidR="003C5325" w:rsidRPr="003C5325" w:rsidRDefault="003C5325" w:rsidP="003C5325">
            <w:pPr>
              <w:spacing w:after="0" w:line="240" w:lineRule="auto"/>
              <w:jc w:val="right"/>
              <w:rPr>
                <w:rFonts w:ascii="Helvetica" w:eastAsia="Times New Roman" w:hAnsi="Helvetica" w:cs="Helvetica"/>
                <w:color w:val="000000"/>
              </w:rPr>
            </w:pPr>
            <w:r w:rsidRPr="003C5325">
              <w:rPr>
                <w:rFonts w:ascii="Helvetica" w:eastAsia="Times New Roman" w:hAnsi="Helvetica" w:cs="Helvetica"/>
                <w:color w:val="000000"/>
              </w:rPr>
              <w:t>585.4</w:t>
            </w:r>
          </w:p>
        </w:tc>
      </w:tr>
      <w:tr w:rsidR="003C5325" w:rsidRPr="003C5325" w14:paraId="2FC33C8C" w14:textId="77777777" w:rsidTr="003C5325">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D754AAC" w14:textId="77777777" w:rsidR="003C5325" w:rsidRPr="003C5325" w:rsidRDefault="003C5325" w:rsidP="003C5325">
            <w:pPr>
              <w:spacing w:after="0" w:line="240" w:lineRule="auto"/>
              <w:rPr>
                <w:rFonts w:ascii="Helvetica" w:eastAsia="Times New Roman" w:hAnsi="Helvetica" w:cs="Helvetica"/>
                <w:color w:val="000000"/>
              </w:rPr>
            </w:pPr>
            <w:r w:rsidRPr="003C5325">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07BE6F5F" w14:textId="77777777" w:rsidR="003C5325" w:rsidRPr="003C5325" w:rsidRDefault="003C5325" w:rsidP="003C5325">
            <w:pPr>
              <w:spacing w:after="0" w:line="240" w:lineRule="auto"/>
              <w:jc w:val="right"/>
              <w:rPr>
                <w:rFonts w:ascii="Helvetica" w:eastAsia="Times New Roman" w:hAnsi="Helvetica" w:cs="Helvetica"/>
                <w:color w:val="000000"/>
              </w:rPr>
            </w:pPr>
            <w:r w:rsidRPr="003C5325">
              <w:rPr>
                <w:rFonts w:ascii="Helvetica" w:eastAsia="Times New Roman" w:hAnsi="Helvetica" w:cs="Helvetica"/>
                <w:color w:val="000000"/>
              </w:rPr>
              <w:t>295.2</w:t>
            </w:r>
          </w:p>
        </w:tc>
      </w:tr>
      <w:tr w:rsidR="003C5325" w:rsidRPr="003C5325" w14:paraId="4837412E" w14:textId="77777777" w:rsidTr="003C5325">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FF680B4" w14:textId="77777777" w:rsidR="003C5325" w:rsidRPr="003C5325" w:rsidRDefault="003C5325" w:rsidP="003C5325">
            <w:pPr>
              <w:spacing w:after="0" w:line="240" w:lineRule="auto"/>
              <w:rPr>
                <w:rFonts w:ascii="Helvetica" w:eastAsia="Times New Roman" w:hAnsi="Helvetica" w:cs="Helvetica"/>
                <w:color w:val="000000"/>
              </w:rPr>
            </w:pPr>
            <w:r w:rsidRPr="003C5325">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5EB45BEB" w14:textId="77777777" w:rsidR="003C5325" w:rsidRPr="003C5325" w:rsidRDefault="003C5325" w:rsidP="003C5325">
            <w:pPr>
              <w:spacing w:after="0" w:line="240" w:lineRule="auto"/>
              <w:jc w:val="right"/>
              <w:rPr>
                <w:rFonts w:ascii="Helvetica" w:eastAsia="Times New Roman" w:hAnsi="Helvetica" w:cs="Helvetica"/>
                <w:color w:val="000000"/>
              </w:rPr>
            </w:pPr>
            <w:r w:rsidRPr="003C5325">
              <w:rPr>
                <w:rFonts w:ascii="Helvetica" w:eastAsia="Times New Roman" w:hAnsi="Helvetica" w:cs="Helvetica"/>
                <w:color w:val="000000"/>
              </w:rPr>
              <w:t>135.9</w:t>
            </w:r>
          </w:p>
        </w:tc>
      </w:tr>
      <w:tr w:rsidR="003C5325" w:rsidRPr="003C5325" w14:paraId="1016E5E0" w14:textId="77777777" w:rsidTr="003C5325">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ACC5064" w14:textId="77777777" w:rsidR="003C5325" w:rsidRPr="003C5325" w:rsidRDefault="003C5325" w:rsidP="003C5325">
            <w:pPr>
              <w:spacing w:after="0" w:line="240" w:lineRule="auto"/>
              <w:rPr>
                <w:rFonts w:ascii="Helvetica" w:eastAsia="Times New Roman" w:hAnsi="Helvetica" w:cs="Helvetica"/>
                <w:color w:val="000000"/>
              </w:rPr>
            </w:pPr>
            <w:r w:rsidRPr="003C5325">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5B34B52A" w14:textId="77777777" w:rsidR="003C5325" w:rsidRPr="003C5325" w:rsidRDefault="003C5325" w:rsidP="003C5325">
            <w:pPr>
              <w:spacing w:after="0" w:line="240" w:lineRule="auto"/>
              <w:jc w:val="right"/>
              <w:rPr>
                <w:rFonts w:ascii="Helvetica" w:eastAsia="Times New Roman" w:hAnsi="Helvetica" w:cs="Helvetica"/>
                <w:color w:val="000000"/>
              </w:rPr>
            </w:pPr>
            <w:r w:rsidRPr="003C5325">
              <w:rPr>
                <w:rFonts w:ascii="Helvetica" w:eastAsia="Times New Roman" w:hAnsi="Helvetica" w:cs="Helvetica"/>
                <w:color w:val="000000"/>
              </w:rPr>
              <w:t>47.0</w:t>
            </w:r>
          </w:p>
        </w:tc>
      </w:tr>
      <w:tr w:rsidR="003C5325" w:rsidRPr="003C5325" w14:paraId="5319517B" w14:textId="77777777" w:rsidTr="003C5325">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97D7F24" w14:textId="77777777" w:rsidR="003C5325" w:rsidRPr="003C5325" w:rsidRDefault="003C5325" w:rsidP="003C5325">
            <w:pPr>
              <w:spacing w:after="0" w:line="240" w:lineRule="auto"/>
              <w:rPr>
                <w:rFonts w:ascii="Helvetica" w:eastAsia="Times New Roman" w:hAnsi="Helvetica" w:cs="Helvetica"/>
                <w:color w:val="000000"/>
              </w:rPr>
            </w:pPr>
            <w:r w:rsidRPr="003C5325">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3E836DD5" w14:textId="77777777" w:rsidR="003C5325" w:rsidRPr="003C5325" w:rsidRDefault="003C5325" w:rsidP="003C5325">
            <w:pPr>
              <w:spacing w:after="0" w:line="240" w:lineRule="auto"/>
              <w:jc w:val="right"/>
              <w:rPr>
                <w:rFonts w:ascii="Helvetica" w:eastAsia="Times New Roman" w:hAnsi="Helvetica" w:cs="Helvetica"/>
                <w:color w:val="000000"/>
              </w:rPr>
            </w:pPr>
            <w:r w:rsidRPr="003C5325">
              <w:rPr>
                <w:rFonts w:ascii="Helvetica" w:eastAsia="Times New Roman" w:hAnsi="Helvetica" w:cs="Helvetica"/>
                <w:color w:val="000000"/>
              </w:rPr>
              <w:t xml:space="preserve">           S</w:t>
            </w:r>
          </w:p>
        </w:tc>
      </w:tr>
      <w:tr w:rsidR="003C5325" w:rsidRPr="003C5325" w14:paraId="5EC29039" w14:textId="77777777" w:rsidTr="003C5325">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D57B201" w14:textId="77777777" w:rsidR="003C5325" w:rsidRPr="003C5325" w:rsidRDefault="003C5325" w:rsidP="003C5325">
            <w:pPr>
              <w:spacing w:after="0" w:line="240" w:lineRule="auto"/>
              <w:rPr>
                <w:rFonts w:ascii="Helvetica" w:eastAsia="Times New Roman" w:hAnsi="Helvetica" w:cs="Helvetica"/>
                <w:color w:val="000000"/>
              </w:rPr>
            </w:pPr>
            <w:r w:rsidRPr="003C5325">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78548D6D" w14:textId="77777777" w:rsidR="003C5325" w:rsidRPr="003C5325" w:rsidRDefault="003C5325" w:rsidP="003C5325">
            <w:pPr>
              <w:spacing w:after="0" w:line="240" w:lineRule="auto"/>
              <w:jc w:val="right"/>
              <w:rPr>
                <w:rFonts w:ascii="Helvetica" w:eastAsia="Times New Roman" w:hAnsi="Helvetica" w:cs="Helvetica"/>
                <w:color w:val="000000"/>
              </w:rPr>
            </w:pPr>
            <w:r w:rsidRPr="003C5325">
              <w:rPr>
                <w:rFonts w:ascii="Helvetica" w:eastAsia="Times New Roman" w:hAnsi="Helvetica" w:cs="Helvetica"/>
                <w:color w:val="000000"/>
              </w:rPr>
              <w:t>25.8</w:t>
            </w:r>
          </w:p>
        </w:tc>
      </w:tr>
      <w:tr w:rsidR="003C5325" w:rsidRPr="003C5325" w14:paraId="19B7F53E" w14:textId="77777777" w:rsidTr="003C5325">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923BDD6" w14:textId="77777777" w:rsidR="003C5325" w:rsidRPr="003C5325" w:rsidRDefault="003C5325" w:rsidP="003C5325">
            <w:pPr>
              <w:spacing w:after="0" w:line="240" w:lineRule="auto"/>
              <w:rPr>
                <w:rFonts w:ascii="Helvetica" w:eastAsia="Times New Roman" w:hAnsi="Helvetica" w:cs="Helvetica"/>
                <w:color w:val="000000"/>
              </w:rPr>
            </w:pPr>
            <w:r w:rsidRPr="003C5325">
              <w:rPr>
                <w:rFonts w:ascii="Helvetica" w:eastAsia="Times New Roman" w:hAnsi="Helvetica" w:cs="Helvetica"/>
                <w:color w:val="000000"/>
              </w:rPr>
              <w:lastRenderedPageBreak/>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1B36A07F" w14:textId="77777777" w:rsidR="003C5325" w:rsidRPr="003C5325" w:rsidRDefault="003C5325" w:rsidP="003C5325">
            <w:pPr>
              <w:spacing w:after="0" w:line="240" w:lineRule="auto"/>
              <w:jc w:val="right"/>
              <w:rPr>
                <w:rFonts w:ascii="Helvetica" w:eastAsia="Times New Roman" w:hAnsi="Helvetica" w:cs="Helvetica"/>
                <w:color w:val="000000"/>
              </w:rPr>
            </w:pPr>
            <w:r w:rsidRPr="003C5325">
              <w:rPr>
                <w:rFonts w:ascii="Helvetica" w:eastAsia="Times New Roman" w:hAnsi="Helvetica" w:cs="Helvetica"/>
                <w:color w:val="000000"/>
              </w:rPr>
              <w:t>19.5</w:t>
            </w:r>
          </w:p>
        </w:tc>
      </w:tr>
      <w:tr w:rsidR="003C5325" w:rsidRPr="003C5325" w14:paraId="40B15303" w14:textId="77777777" w:rsidTr="003C5325">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147FB7A" w14:textId="77777777" w:rsidR="003C5325" w:rsidRPr="003C5325" w:rsidRDefault="003C5325" w:rsidP="003C5325">
            <w:pPr>
              <w:spacing w:after="0" w:line="240" w:lineRule="auto"/>
              <w:rPr>
                <w:rFonts w:ascii="Helvetica" w:eastAsia="Times New Roman" w:hAnsi="Helvetica" w:cs="Helvetica"/>
                <w:color w:val="000000"/>
              </w:rPr>
            </w:pPr>
            <w:r w:rsidRPr="003C5325">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01875AC1" w14:textId="77777777" w:rsidR="003C5325" w:rsidRPr="003C5325" w:rsidRDefault="003C5325" w:rsidP="003C5325">
            <w:pPr>
              <w:spacing w:after="0" w:line="240" w:lineRule="auto"/>
              <w:jc w:val="right"/>
              <w:rPr>
                <w:rFonts w:ascii="Helvetica" w:eastAsia="Times New Roman" w:hAnsi="Helvetica" w:cs="Helvetica"/>
                <w:color w:val="000000"/>
              </w:rPr>
            </w:pPr>
            <w:r w:rsidRPr="003C5325">
              <w:rPr>
                <w:rFonts w:ascii="Helvetica" w:eastAsia="Times New Roman" w:hAnsi="Helvetica" w:cs="Helvetica"/>
                <w:color w:val="000000"/>
              </w:rPr>
              <w:t xml:space="preserve">           S</w:t>
            </w:r>
          </w:p>
        </w:tc>
      </w:tr>
      <w:tr w:rsidR="003C5325" w:rsidRPr="003C5325" w14:paraId="35388BB1" w14:textId="77777777" w:rsidTr="003C5325">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DCA7D12" w14:textId="77777777" w:rsidR="003C5325" w:rsidRPr="003C5325" w:rsidRDefault="003C5325" w:rsidP="003C5325">
            <w:pPr>
              <w:spacing w:after="0" w:line="240" w:lineRule="auto"/>
              <w:rPr>
                <w:rFonts w:ascii="Helvetica" w:eastAsia="Times New Roman" w:hAnsi="Helvetica" w:cs="Helvetica"/>
                <w:color w:val="000000"/>
              </w:rPr>
            </w:pPr>
            <w:r w:rsidRPr="003C5325">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0C2CFED3" w14:textId="77777777" w:rsidR="003C5325" w:rsidRPr="003C5325" w:rsidRDefault="003C5325" w:rsidP="003C5325">
            <w:pPr>
              <w:spacing w:after="0" w:line="240" w:lineRule="auto"/>
              <w:jc w:val="right"/>
              <w:rPr>
                <w:rFonts w:ascii="Helvetica" w:eastAsia="Times New Roman" w:hAnsi="Helvetica" w:cs="Helvetica"/>
                <w:color w:val="000000"/>
              </w:rPr>
            </w:pPr>
            <w:r w:rsidRPr="003C5325">
              <w:rPr>
                <w:rFonts w:ascii="Helvetica" w:eastAsia="Times New Roman" w:hAnsi="Helvetica" w:cs="Helvetica"/>
                <w:color w:val="000000"/>
              </w:rPr>
              <w:t>40.3</w:t>
            </w:r>
          </w:p>
        </w:tc>
      </w:tr>
      <w:tr w:rsidR="003C5325" w:rsidRPr="003C5325" w14:paraId="62D8FA95" w14:textId="77777777" w:rsidTr="003C5325">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553D121" w14:textId="77777777" w:rsidR="003C5325" w:rsidRPr="003C5325" w:rsidRDefault="003C5325" w:rsidP="003C5325">
            <w:pPr>
              <w:spacing w:after="0" w:line="240" w:lineRule="auto"/>
              <w:rPr>
                <w:rFonts w:ascii="Helvetica" w:eastAsia="Times New Roman" w:hAnsi="Helvetica" w:cs="Helvetica"/>
                <w:b/>
                <w:bCs/>
                <w:color w:val="000000"/>
              </w:rPr>
            </w:pPr>
            <w:r w:rsidRPr="003C5325">
              <w:rPr>
                <w:rFonts w:ascii="Helvetica" w:eastAsia="Times New Roman" w:hAnsi="Helvetica" w:cs="Helvetica"/>
                <w:b/>
                <w:bCs/>
                <w:color w:val="000000"/>
              </w:rPr>
              <w:t>Median (</w:t>
            </w:r>
            <w:proofErr w:type="gramStart"/>
            <w:r w:rsidRPr="003C5325">
              <w:rPr>
                <w:rFonts w:ascii="Helvetica" w:eastAsia="Times New Roman" w:hAnsi="Helvetica" w:cs="Helvetica"/>
                <w:b/>
                <w:bCs/>
                <w:color w:val="000000"/>
              </w:rPr>
              <w:t>dollars)   </w:t>
            </w:r>
            <w:proofErr w:type="gramEnd"/>
            <w:r w:rsidRPr="003C5325">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0B8AB1F0" w14:textId="77777777" w:rsidR="003C5325" w:rsidRPr="003C5325" w:rsidRDefault="003C5325" w:rsidP="003C5325">
            <w:pPr>
              <w:spacing w:after="0" w:line="240" w:lineRule="auto"/>
              <w:jc w:val="right"/>
              <w:rPr>
                <w:rFonts w:ascii="Helvetica" w:eastAsia="Times New Roman" w:hAnsi="Helvetica" w:cs="Helvetica"/>
                <w:color w:val="000000"/>
              </w:rPr>
            </w:pPr>
            <w:r w:rsidRPr="003C5325">
              <w:rPr>
                <w:rFonts w:ascii="Helvetica" w:eastAsia="Times New Roman" w:hAnsi="Helvetica" w:cs="Helvetica"/>
                <w:color w:val="000000"/>
              </w:rPr>
              <w:t>45.0</w:t>
            </w:r>
          </w:p>
        </w:tc>
      </w:tr>
      <w:tr w:rsidR="003C5325" w:rsidRPr="003C5325" w14:paraId="5FA519D4" w14:textId="77777777" w:rsidTr="003C5325">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9122163" w14:textId="77777777" w:rsidR="003C5325" w:rsidRPr="003C5325" w:rsidRDefault="003C5325" w:rsidP="003C5325">
            <w:pPr>
              <w:spacing w:after="0" w:line="240" w:lineRule="auto"/>
              <w:rPr>
                <w:rFonts w:ascii="Helvetica" w:eastAsia="Times New Roman" w:hAnsi="Helvetica" w:cs="Helvetica"/>
                <w:b/>
                <w:bCs/>
                <w:color w:val="000000"/>
              </w:rPr>
            </w:pPr>
            <w:r w:rsidRPr="003C5325">
              <w:rPr>
                <w:rFonts w:ascii="Helvetica" w:eastAsia="Times New Roman" w:hAnsi="Helvetica" w:cs="Helvetica"/>
                <w:b/>
                <w:bCs/>
                <w:color w:val="000000"/>
              </w:rPr>
              <w:t>Mean (</w:t>
            </w:r>
            <w:proofErr w:type="gramStart"/>
            <w:r w:rsidRPr="003C5325">
              <w:rPr>
                <w:rFonts w:ascii="Helvetica" w:eastAsia="Times New Roman" w:hAnsi="Helvetica" w:cs="Helvetica"/>
                <w:b/>
                <w:bCs/>
                <w:color w:val="000000"/>
              </w:rPr>
              <w:t>dollars)   </w:t>
            </w:r>
            <w:proofErr w:type="gramEnd"/>
            <w:r w:rsidRPr="003C5325">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0797A517" w14:textId="77777777" w:rsidR="003C5325" w:rsidRPr="003C5325" w:rsidRDefault="003C5325" w:rsidP="003C5325">
            <w:pPr>
              <w:spacing w:after="0" w:line="240" w:lineRule="auto"/>
              <w:jc w:val="right"/>
              <w:rPr>
                <w:rFonts w:ascii="Helvetica" w:eastAsia="Times New Roman" w:hAnsi="Helvetica" w:cs="Helvetica"/>
                <w:color w:val="000000"/>
              </w:rPr>
            </w:pPr>
            <w:r w:rsidRPr="003C5325">
              <w:rPr>
                <w:rFonts w:ascii="Helvetica" w:eastAsia="Times New Roman" w:hAnsi="Helvetica" w:cs="Helvetica"/>
                <w:color w:val="000000"/>
              </w:rPr>
              <w:t>97.7</w:t>
            </w:r>
          </w:p>
        </w:tc>
      </w:tr>
    </w:tbl>
    <w:p w14:paraId="1A441138" w14:textId="1C56904F" w:rsidR="003C5325" w:rsidRDefault="003C5325" w:rsidP="00FA487B">
      <w:pPr>
        <w:rPr>
          <w:rFonts w:ascii="Times New Roman" w:hAnsi="Times New Roman" w:cs="Times New Roman"/>
          <w:sz w:val="24"/>
          <w:szCs w:val="24"/>
        </w:rPr>
      </w:pPr>
    </w:p>
    <w:p w14:paraId="3FEAE0C5" w14:textId="30BDB6A4" w:rsidR="004760ED" w:rsidRDefault="004760ED" w:rsidP="00FA487B">
      <w:pPr>
        <w:rPr>
          <w:rFonts w:ascii="Times New Roman" w:hAnsi="Times New Roman" w:cs="Times New Roman"/>
          <w:sz w:val="24"/>
          <w:szCs w:val="24"/>
        </w:rPr>
      </w:pPr>
    </w:p>
    <w:tbl>
      <w:tblPr>
        <w:tblW w:w="10263" w:type="dxa"/>
        <w:jc w:val="center"/>
        <w:tblLook w:val="04A0" w:firstRow="1" w:lastRow="0" w:firstColumn="1" w:lastColumn="0" w:noHBand="0" w:noVBand="1"/>
      </w:tblPr>
      <w:tblGrid>
        <w:gridCol w:w="8805"/>
        <w:gridCol w:w="1458"/>
      </w:tblGrid>
      <w:tr w:rsidR="004760ED" w:rsidRPr="004760ED" w14:paraId="2112C9BB" w14:textId="77777777" w:rsidTr="004760ED">
        <w:trPr>
          <w:trHeight w:val="581"/>
          <w:jc w:val="center"/>
        </w:trPr>
        <w:tc>
          <w:tcPr>
            <w:tcW w:w="10263" w:type="dxa"/>
            <w:gridSpan w:val="2"/>
            <w:tcBorders>
              <w:top w:val="single" w:sz="4" w:space="0" w:color="auto"/>
              <w:left w:val="single" w:sz="4" w:space="0" w:color="auto"/>
              <w:bottom w:val="nil"/>
              <w:right w:val="single" w:sz="4" w:space="0" w:color="auto"/>
            </w:tcBorders>
            <w:shd w:val="clear" w:color="000000" w:fill="FFFFFF"/>
            <w:vAlign w:val="bottom"/>
            <w:hideMark/>
          </w:tcPr>
          <w:p w14:paraId="4BAF59BF" w14:textId="77777777" w:rsidR="004760ED" w:rsidRPr="004760ED" w:rsidRDefault="004760ED" w:rsidP="004760ED">
            <w:pPr>
              <w:spacing w:after="0" w:line="240" w:lineRule="auto"/>
              <w:jc w:val="center"/>
              <w:rPr>
                <w:rFonts w:ascii="Helvetica" w:eastAsia="Times New Roman" w:hAnsi="Helvetica" w:cs="Helvetica"/>
                <w:color w:val="000000"/>
                <w:sz w:val="25"/>
                <w:szCs w:val="25"/>
              </w:rPr>
            </w:pPr>
            <w:r w:rsidRPr="004760ED">
              <w:rPr>
                <w:rFonts w:ascii="Helvetica" w:eastAsia="Times New Roman" w:hAnsi="Helvetica" w:cs="Helvetica"/>
                <w:color w:val="000000"/>
                <w:sz w:val="25"/>
                <w:szCs w:val="25"/>
              </w:rPr>
              <w:t xml:space="preserve">2011 Fort Worth-Arlington - Housing Costs - All Occupied Units    </w:t>
            </w:r>
            <w:r w:rsidRPr="004760ED">
              <w:rPr>
                <w:rFonts w:ascii="Helvetica" w:eastAsia="Times New Roman" w:hAnsi="Helvetica" w:cs="Helvetica"/>
                <w:color w:val="000000"/>
                <w:sz w:val="25"/>
                <w:szCs w:val="25"/>
              </w:rPr>
              <w:br/>
              <w:t>Fort Worth-Arlington, TX Metropolitan Division (2003 OMB definition)</w:t>
            </w:r>
          </w:p>
        </w:tc>
      </w:tr>
      <w:tr w:rsidR="004760ED" w:rsidRPr="004760ED" w14:paraId="569E78F9" w14:textId="77777777" w:rsidTr="004760ED">
        <w:trPr>
          <w:trHeight w:val="383"/>
          <w:jc w:val="center"/>
        </w:trPr>
        <w:tc>
          <w:tcPr>
            <w:tcW w:w="10263" w:type="dxa"/>
            <w:gridSpan w:val="2"/>
            <w:tcBorders>
              <w:top w:val="nil"/>
              <w:left w:val="single" w:sz="4" w:space="0" w:color="auto"/>
              <w:bottom w:val="nil"/>
              <w:right w:val="single" w:sz="4" w:space="0" w:color="auto"/>
            </w:tcBorders>
            <w:shd w:val="clear" w:color="000000" w:fill="FFFFFF"/>
            <w:vAlign w:val="bottom"/>
            <w:hideMark/>
          </w:tcPr>
          <w:p w14:paraId="68D1E080" w14:textId="77777777" w:rsidR="004760ED" w:rsidRPr="004760ED" w:rsidRDefault="004760ED" w:rsidP="004760ED">
            <w:pPr>
              <w:spacing w:after="0" w:line="240" w:lineRule="auto"/>
              <w:rPr>
                <w:rFonts w:ascii="Helvetica" w:eastAsia="Times New Roman" w:hAnsi="Helvetica" w:cs="Helvetica"/>
                <w:b/>
                <w:bCs/>
                <w:color w:val="000000"/>
                <w:sz w:val="16"/>
                <w:szCs w:val="16"/>
              </w:rPr>
            </w:pPr>
            <w:r w:rsidRPr="004760ED">
              <w:rPr>
                <w:rFonts w:ascii="Helvetica" w:eastAsia="Times New Roman" w:hAnsi="Helvetica" w:cs="Helvetica"/>
                <w:b/>
                <w:bCs/>
                <w:color w:val="000000"/>
                <w:sz w:val="16"/>
                <w:szCs w:val="16"/>
              </w:rPr>
              <w:t>[Estimates in thousands of housing units, except as indicated. Weighting consistent with Census 2010. Blank cells represent zero; Z rounds to zero; '.' Represents not applicable or no cases in sample; S represents estimates that did not meet publication standards]</w:t>
            </w:r>
          </w:p>
        </w:tc>
      </w:tr>
      <w:tr w:rsidR="004760ED" w:rsidRPr="004760ED" w14:paraId="783587E8" w14:textId="77777777" w:rsidTr="004760ED">
        <w:trPr>
          <w:trHeight w:val="213"/>
          <w:jc w:val="center"/>
        </w:trPr>
        <w:tc>
          <w:tcPr>
            <w:tcW w:w="10263" w:type="dxa"/>
            <w:gridSpan w:val="2"/>
            <w:tcBorders>
              <w:top w:val="nil"/>
              <w:left w:val="single" w:sz="4" w:space="0" w:color="auto"/>
              <w:bottom w:val="nil"/>
              <w:right w:val="single" w:sz="4" w:space="0" w:color="auto"/>
            </w:tcBorders>
            <w:shd w:val="clear" w:color="000000" w:fill="FFFFFF"/>
            <w:vAlign w:val="bottom"/>
            <w:hideMark/>
          </w:tcPr>
          <w:p w14:paraId="1893C692" w14:textId="77777777" w:rsidR="004760ED" w:rsidRPr="004760ED" w:rsidRDefault="00235B6F" w:rsidP="004760ED">
            <w:pPr>
              <w:spacing w:after="0" w:line="240" w:lineRule="auto"/>
              <w:jc w:val="center"/>
              <w:rPr>
                <w:rFonts w:ascii="Helvetica" w:eastAsia="Times New Roman" w:hAnsi="Helvetica" w:cs="Helvetica"/>
                <w:b/>
                <w:bCs/>
                <w:color w:val="0000FF"/>
                <w:sz w:val="18"/>
                <w:szCs w:val="18"/>
                <w:u w:val="single"/>
              </w:rPr>
            </w:pPr>
            <w:hyperlink r:id="rId14" w:history="1">
              <w:r w:rsidR="004760ED" w:rsidRPr="004760ED">
                <w:rPr>
                  <w:rFonts w:ascii="Helvetica" w:eastAsia="Times New Roman" w:hAnsi="Helvetica" w:cs="Helvetica"/>
                  <w:b/>
                  <w:bCs/>
                  <w:color w:val="0000FF"/>
                  <w:sz w:val="18"/>
                  <w:szCs w:val="18"/>
                  <w:u w:val="single"/>
                </w:rPr>
                <w:t>Subject Definitions</w:t>
              </w:r>
            </w:hyperlink>
          </w:p>
        </w:tc>
      </w:tr>
      <w:tr w:rsidR="004760ED" w:rsidRPr="004760ED" w14:paraId="2D783685" w14:textId="77777777" w:rsidTr="004760ED">
        <w:trPr>
          <w:trHeight w:val="213"/>
          <w:jc w:val="center"/>
        </w:trPr>
        <w:tc>
          <w:tcPr>
            <w:tcW w:w="8805" w:type="dxa"/>
            <w:tcBorders>
              <w:top w:val="nil"/>
              <w:left w:val="single" w:sz="4" w:space="0" w:color="auto"/>
              <w:bottom w:val="single" w:sz="4" w:space="0" w:color="auto"/>
              <w:right w:val="nil"/>
            </w:tcBorders>
            <w:shd w:val="clear" w:color="000000" w:fill="FFFFFF"/>
            <w:noWrap/>
            <w:vAlign w:val="bottom"/>
            <w:hideMark/>
          </w:tcPr>
          <w:p w14:paraId="38ABCA50" w14:textId="77777777" w:rsidR="004760ED" w:rsidRPr="004760ED" w:rsidRDefault="004760ED" w:rsidP="004760ED">
            <w:pPr>
              <w:spacing w:after="0" w:line="240" w:lineRule="auto"/>
              <w:rPr>
                <w:rFonts w:ascii="Helvetica" w:eastAsia="Times New Roman" w:hAnsi="Helvetica" w:cs="Helvetica"/>
                <w:color w:val="000000"/>
              </w:rPr>
            </w:pPr>
            <w:r w:rsidRPr="004760ED">
              <w:rPr>
                <w:rFonts w:ascii="Helvetica" w:eastAsia="Times New Roman" w:hAnsi="Helvetica" w:cs="Helvetica"/>
                <w:color w:val="000000"/>
              </w:rPr>
              <w:t> </w:t>
            </w:r>
          </w:p>
        </w:tc>
        <w:tc>
          <w:tcPr>
            <w:tcW w:w="1457" w:type="dxa"/>
            <w:tcBorders>
              <w:top w:val="nil"/>
              <w:left w:val="nil"/>
              <w:bottom w:val="single" w:sz="4" w:space="0" w:color="auto"/>
              <w:right w:val="single" w:sz="4" w:space="0" w:color="auto"/>
            </w:tcBorders>
            <w:shd w:val="clear" w:color="000000" w:fill="FFFFFF"/>
            <w:noWrap/>
            <w:vAlign w:val="bottom"/>
            <w:hideMark/>
          </w:tcPr>
          <w:p w14:paraId="317D42CB" w14:textId="77777777" w:rsidR="004760ED" w:rsidRPr="004760ED" w:rsidRDefault="004760ED" w:rsidP="004760ED">
            <w:pPr>
              <w:spacing w:after="0" w:line="240" w:lineRule="auto"/>
              <w:rPr>
                <w:rFonts w:ascii="Helvetica" w:eastAsia="Times New Roman" w:hAnsi="Helvetica" w:cs="Helvetica"/>
                <w:color w:val="000000"/>
              </w:rPr>
            </w:pPr>
            <w:r w:rsidRPr="004760ED">
              <w:rPr>
                <w:rFonts w:ascii="Helvetica" w:eastAsia="Times New Roman" w:hAnsi="Helvetica" w:cs="Helvetica"/>
                <w:color w:val="000000"/>
              </w:rPr>
              <w:t> </w:t>
            </w:r>
          </w:p>
        </w:tc>
      </w:tr>
      <w:tr w:rsidR="004760ED" w:rsidRPr="004760ED" w14:paraId="0CC3C100" w14:textId="77777777" w:rsidTr="004760ED">
        <w:trPr>
          <w:trHeight w:val="259"/>
          <w:jc w:val="center"/>
        </w:trPr>
        <w:tc>
          <w:tcPr>
            <w:tcW w:w="8805"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77D05ECF" w14:textId="77777777" w:rsidR="004760ED" w:rsidRPr="004760ED" w:rsidRDefault="004760ED" w:rsidP="004760ED">
            <w:pPr>
              <w:spacing w:after="0" w:line="240" w:lineRule="auto"/>
              <w:jc w:val="center"/>
              <w:rPr>
                <w:rFonts w:ascii="Helvetica" w:eastAsia="Times New Roman" w:hAnsi="Helvetica" w:cs="Helvetica"/>
                <w:b/>
                <w:bCs/>
                <w:color w:val="000000"/>
              </w:rPr>
            </w:pPr>
            <w:r w:rsidRPr="004760ED">
              <w:rPr>
                <w:rFonts w:ascii="Helvetica" w:eastAsia="Times New Roman" w:hAnsi="Helvetica" w:cs="Helvetica"/>
                <w:b/>
                <w:bCs/>
                <w:color w:val="000000"/>
              </w:rPr>
              <w:t>Characteristics</w:t>
            </w:r>
          </w:p>
        </w:tc>
        <w:tc>
          <w:tcPr>
            <w:tcW w:w="1457" w:type="dxa"/>
            <w:tcBorders>
              <w:top w:val="single" w:sz="4" w:space="0" w:color="auto"/>
              <w:left w:val="nil"/>
              <w:bottom w:val="single" w:sz="4" w:space="0" w:color="808080"/>
              <w:right w:val="single" w:sz="4" w:space="0" w:color="808080"/>
            </w:tcBorders>
            <w:shd w:val="clear" w:color="000000" w:fill="F5F5F5"/>
            <w:vAlign w:val="bottom"/>
            <w:hideMark/>
          </w:tcPr>
          <w:p w14:paraId="0FD22AE1" w14:textId="77777777" w:rsidR="004760ED" w:rsidRPr="004760ED" w:rsidRDefault="004760ED" w:rsidP="004760ED">
            <w:pPr>
              <w:spacing w:after="0" w:line="240" w:lineRule="auto"/>
              <w:jc w:val="center"/>
              <w:rPr>
                <w:rFonts w:ascii="Helvetica" w:eastAsia="Times New Roman" w:hAnsi="Helvetica" w:cs="Helvetica"/>
                <w:b/>
                <w:bCs/>
                <w:color w:val="000000"/>
              </w:rPr>
            </w:pPr>
            <w:r w:rsidRPr="004760ED">
              <w:rPr>
                <w:rFonts w:ascii="Helvetica" w:eastAsia="Times New Roman" w:hAnsi="Helvetica" w:cs="Helvetica"/>
                <w:b/>
                <w:bCs/>
                <w:color w:val="000000"/>
              </w:rPr>
              <w:t>Estimate</w:t>
            </w:r>
          </w:p>
        </w:tc>
      </w:tr>
      <w:tr w:rsidR="004760ED" w:rsidRPr="004760ED" w14:paraId="345A4B35" w14:textId="77777777" w:rsidTr="004760ED">
        <w:trPr>
          <w:trHeight w:val="259"/>
          <w:jc w:val="center"/>
        </w:trPr>
        <w:tc>
          <w:tcPr>
            <w:tcW w:w="8805" w:type="dxa"/>
            <w:tcBorders>
              <w:top w:val="nil"/>
              <w:left w:val="single" w:sz="4" w:space="0" w:color="808080"/>
              <w:bottom w:val="single" w:sz="4" w:space="0" w:color="808080"/>
              <w:right w:val="single" w:sz="4" w:space="0" w:color="808080"/>
            </w:tcBorders>
            <w:shd w:val="clear" w:color="000000" w:fill="F5F5F5"/>
            <w:hideMark/>
          </w:tcPr>
          <w:p w14:paraId="4CCFC683" w14:textId="77777777" w:rsidR="004760ED" w:rsidRPr="004760ED" w:rsidRDefault="004760ED" w:rsidP="004760ED">
            <w:pPr>
              <w:spacing w:after="0" w:line="240" w:lineRule="auto"/>
              <w:rPr>
                <w:rFonts w:ascii="Helvetica" w:eastAsia="Times New Roman" w:hAnsi="Helvetica" w:cs="Helvetica"/>
                <w:b/>
                <w:bCs/>
                <w:color w:val="000000"/>
              </w:rPr>
            </w:pPr>
            <w:r w:rsidRPr="004760ED">
              <w:rPr>
                <w:rFonts w:ascii="Helvetica" w:eastAsia="Times New Roman" w:hAnsi="Helvetica" w:cs="Helvetica"/>
                <w:b/>
                <w:bCs/>
                <w:color w:val="000000"/>
              </w:rPr>
              <w:t>Condominium and Cooperative Fee                                                        </w:t>
            </w:r>
          </w:p>
        </w:tc>
        <w:tc>
          <w:tcPr>
            <w:tcW w:w="1457" w:type="dxa"/>
            <w:tcBorders>
              <w:top w:val="nil"/>
              <w:left w:val="nil"/>
              <w:bottom w:val="single" w:sz="4" w:space="0" w:color="808080"/>
              <w:right w:val="single" w:sz="4" w:space="0" w:color="808080"/>
            </w:tcBorders>
            <w:shd w:val="clear" w:color="000000" w:fill="FFFFFF"/>
            <w:vAlign w:val="bottom"/>
            <w:hideMark/>
          </w:tcPr>
          <w:p w14:paraId="59FF5B31" w14:textId="77777777" w:rsidR="004760ED" w:rsidRPr="004760ED" w:rsidRDefault="004760ED" w:rsidP="004760ED">
            <w:pPr>
              <w:spacing w:after="0" w:line="240" w:lineRule="auto"/>
              <w:jc w:val="right"/>
              <w:rPr>
                <w:rFonts w:ascii="Helvetica" w:eastAsia="Times New Roman" w:hAnsi="Helvetica" w:cs="Helvetica"/>
                <w:color w:val="000000"/>
              </w:rPr>
            </w:pPr>
            <w:r w:rsidRPr="004760ED">
              <w:rPr>
                <w:rFonts w:ascii="Helvetica" w:eastAsia="Times New Roman" w:hAnsi="Helvetica" w:cs="Helvetica"/>
                <w:color w:val="000000"/>
              </w:rPr>
              <w:t xml:space="preserve">            </w:t>
            </w:r>
          </w:p>
        </w:tc>
      </w:tr>
      <w:tr w:rsidR="004760ED" w:rsidRPr="004760ED" w14:paraId="26A4CB65" w14:textId="77777777" w:rsidTr="004760ED">
        <w:trPr>
          <w:trHeight w:val="275"/>
          <w:jc w:val="center"/>
        </w:trPr>
        <w:tc>
          <w:tcPr>
            <w:tcW w:w="8805" w:type="dxa"/>
            <w:tcBorders>
              <w:top w:val="nil"/>
              <w:left w:val="single" w:sz="4" w:space="0" w:color="808080"/>
              <w:bottom w:val="single" w:sz="4" w:space="0" w:color="808080"/>
              <w:right w:val="single" w:sz="4" w:space="0" w:color="808080"/>
            </w:tcBorders>
            <w:shd w:val="clear" w:color="000000" w:fill="FFFFFF"/>
            <w:hideMark/>
          </w:tcPr>
          <w:p w14:paraId="0703F305" w14:textId="77777777" w:rsidR="004760ED" w:rsidRPr="004760ED" w:rsidRDefault="004760ED" w:rsidP="004760ED">
            <w:pPr>
              <w:spacing w:after="0" w:line="240" w:lineRule="auto"/>
              <w:rPr>
                <w:rFonts w:ascii="Helvetica" w:eastAsia="Times New Roman" w:hAnsi="Helvetica" w:cs="Helvetica"/>
                <w:color w:val="000000"/>
              </w:rPr>
            </w:pPr>
            <w:r w:rsidRPr="004760ED">
              <w:rPr>
                <w:rFonts w:ascii="Helvetica" w:eastAsia="Times New Roman" w:hAnsi="Helvetica" w:cs="Helvetica"/>
                <w:color w:val="000000"/>
              </w:rPr>
              <w:t>                                                                                       </w:t>
            </w:r>
          </w:p>
        </w:tc>
        <w:tc>
          <w:tcPr>
            <w:tcW w:w="1457" w:type="dxa"/>
            <w:tcBorders>
              <w:top w:val="nil"/>
              <w:left w:val="nil"/>
              <w:bottom w:val="single" w:sz="4" w:space="0" w:color="808080"/>
              <w:right w:val="single" w:sz="4" w:space="0" w:color="808080"/>
            </w:tcBorders>
            <w:shd w:val="clear" w:color="000000" w:fill="FFFFFF"/>
            <w:vAlign w:val="bottom"/>
            <w:hideMark/>
          </w:tcPr>
          <w:p w14:paraId="3D8EB439" w14:textId="77777777" w:rsidR="004760ED" w:rsidRPr="004760ED" w:rsidRDefault="004760ED" w:rsidP="004760ED">
            <w:pPr>
              <w:spacing w:after="0" w:line="240" w:lineRule="auto"/>
              <w:jc w:val="right"/>
              <w:rPr>
                <w:rFonts w:ascii="Helvetica" w:eastAsia="Times New Roman" w:hAnsi="Helvetica" w:cs="Helvetica"/>
                <w:color w:val="000000"/>
              </w:rPr>
            </w:pPr>
            <w:r w:rsidRPr="004760ED">
              <w:rPr>
                <w:rFonts w:ascii="Helvetica" w:eastAsia="Times New Roman" w:hAnsi="Helvetica" w:cs="Helvetica"/>
                <w:color w:val="000000"/>
              </w:rPr>
              <w:t xml:space="preserve">            </w:t>
            </w:r>
          </w:p>
        </w:tc>
      </w:tr>
      <w:tr w:rsidR="004760ED" w:rsidRPr="004760ED" w14:paraId="2CCA6E0B" w14:textId="77777777" w:rsidTr="004760ED">
        <w:trPr>
          <w:trHeight w:val="275"/>
          <w:jc w:val="center"/>
        </w:trPr>
        <w:tc>
          <w:tcPr>
            <w:tcW w:w="8805" w:type="dxa"/>
            <w:tcBorders>
              <w:top w:val="nil"/>
              <w:left w:val="single" w:sz="4" w:space="0" w:color="808080"/>
              <w:bottom w:val="single" w:sz="4" w:space="0" w:color="808080"/>
              <w:right w:val="single" w:sz="4" w:space="0" w:color="808080"/>
            </w:tcBorders>
            <w:shd w:val="clear" w:color="000000" w:fill="FFFFFF"/>
            <w:hideMark/>
          </w:tcPr>
          <w:p w14:paraId="1B1BAF9F" w14:textId="77777777" w:rsidR="004760ED" w:rsidRPr="004760ED" w:rsidRDefault="004760ED" w:rsidP="004760ED">
            <w:pPr>
              <w:spacing w:after="0" w:line="240" w:lineRule="auto"/>
              <w:rPr>
                <w:rFonts w:ascii="Helvetica" w:eastAsia="Times New Roman" w:hAnsi="Helvetica" w:cs="Helvetica"/>
                <w:color w:val="000000"/>
              </w:rPr>
            </w:pPr>
            <w:r w:rsidRPr="004760ED">
              <w:rPr>
                <w:rFonts w:ascii="Helvetica" w:eastAsia="Times New Roman" w:hAnsi="Helvetica" w:cs="Helvetica"/>
                <w:color w:val="000000"/>
              </w:rPr>
              <w:t>      Fee paid by owners                                                               </w:t>
            </w:r>
          </w:p>
        </w:tc>
        <w:tc>
          <w:tcPr>
            <w:tcW w:w="1457" w:type="dxa"/>
            <w:tcBorders>
              <w:top w:val="nil"/>
              <w:left w:val="nil"/>
              <w:bottom w:val="single" w:sz="4" w:space="0" w:color="808080"/>
              <w:right w:val="single" w:sz="4" w:space="0" w:color="808080"/>
            </w:tcBorders>
            <w:shd w:val="clear" w:color="000000" w:fill="FFFFFF"/>
            <w:vAlign w:val="bottom"/>
            <w:hideMark/>
          </w:tcPr>
          <w:p w14:paraId="102D16A5" w14:textId="77777777" w:rsidR="004760ED" w:rsidRPr="004760ED" w:rsidRDefault="004760ED" w:rsidP="004760ED">
            <w:pPr>
              <w:spacing w:after="0" w:line="240" w:lineRule="auto"/>
              <w:jc w:val="right"/>
              <w:rPr>
                <w:rFonts w:ascii="Helvetica" w:eastAsia="Times New Roman" w:hAnsi="Helvetica" w:cs="Helvetica"/>
                <w:color w:val="000000"/>
              </w:rPr>
            </w:pPr>
            <w:r w:rsidRPr="004760ED">
              <w:rPr>
                <w:rFonts w:ascii="Helvetica" w:eastAsia="Times New Roman" w:hAnsi="Helvetica" w:cs="Helvetica"/>
                <w:color w:val="000000"/>
              </w:rPr>
              <w:t>4.6</w:t>
            </w:r>
          </w:p>
        </w:tc>
      </w:tr>
      <w:tr w:rsidR="004760ED" w:rsidRPr="004760ED" w14:paraId="5AACE3C9" w14:textId="77777777" w:rsidTr="004760ED">
        <w:trPr>
          <w:trHeight w:val="275"/>
          <w:jc w:val="center"/>
        </w:trPr>
        <w:tc>
          <w:tcPr>
            <w:tcW w:w="8805" w:type="dxa"/>
            <w:tcBorders>
              <w:top w:val="nil"/>
              <w:left w:val="single" w:sz="4" w:space="0" w:color="808080"/>
              <w:bottom w:val="single" w:sz="4" w:space="0" w:color="808080"/>
              <w:right w:val="single" w:sz="4" w:space="0" w:color="808080"/>
            </w:tcBorders>
            <w:shd w:val="clear" w:color="000000" w:fill="FFFFFF"/>
            <w:hideMark/>
          </w:tcPr>
          <w:p w14:paraId="6CEC5504" w14:textId="77777777" w:rsidR="004760ED" w:rsidRPr="004760ED" w:rsidRDefault="004760ED" w:rsidP="004760ED">
            <w:pPr>
              <w:spacing w:after="0" w:line="240" w:lineRule="auto"/>
              <w:rPr>
                <w:rFonts w:ascii="Helvetica" w:eastAsia="Times New Roman" w:hAnsi="Helvetica" w:cs="Helvetica"/>
                <w:color w:val="000000"/>
              </w:rPr>
            </w:pPr>
            <w:r w:rsidRPr="004760ED">
              <w:rPr>
                <w:rFonts w:ascii="Helvetica" w:eastAsia="Times New Roman" w:hAnsi="Helvetica" w:cs="Helvetica"/>
                <w:color w:val="000000"/>
              </w:rPr>
              <w:t>Less than $50 per month                                                                </w:t>
            </w:r>
          </w:p>
        </w:tc>
        <w:tc>
          <w:tcPr>
            <w:tcW w:w="1457" w:type="dxa"/>
            <w:tcBorders>
              <w:top w:val="nil"/>
              <w:left w:val="nil"/>
              <w:bottom w:val="single" w:sz="4" w:space="0" w:color="808080"/>
              <w:right w:val="single" w:sz="4" w:space="0" w:color="808080"/>
            </w:tcBorders>
            <w:shd w:val="clear" w:color="000000" w:fill="FFFFFF"/>
            <w:vAlign w:val="bottom"/>
            <w:hideMark/>
          </w:tcPr>
          <w:p w14:paraId="41865D0F" w14:textId="77777777" w:rsidR="004760ED" w:rsidRPr="004760ED" w:rsidRDefault="004760ED" w:rsidP="004760ED">
            <w:pPr>
              <w:spacing w:after="0" w:line="240" w:lineRule="auto"/>
              <w:jc w:val="right"/>
              <w:rPr>
                <w:rFonts w:ascii="Helvetica" w:eastAsia="Times New Roman" w:hAnsi="Helvetica" w:cs="Helvetica"/>
                <w:color w:val="000000"/>
              </w:rPr>
            </w:pPr>
            <w:r w:rsidRPr="004760ED">
              <w:rPr>
                <w:rFonts w:ascii="Helvetica" w:eastAsia="Times New Roman" w:hAnsi="Helvetica" w:cs="Helvetica"/>
                <w:color w:val="000000"/>
              </w:rPr>
              <w:t xml:space="preserve">           S</w:t>
            </w:r>
          </w:p>
        </w:tc>
      </w:tr>
      <w:tr w:rsidR="004760ED" w:rsidRPr="004760ED" w14:paraId="694BBB19" w14:textId="77777777" w:rsidTr="004760ED">
        <w:trPr>
          <w:trHeight w:val="275"/>
          <w:jc w:val="center"/>
        </w:trPr>
        <w:tc>
          <w:tcPr>
            <w:tcW w:w="8805" w:type="dxa"/>
            <w:tcBorders>
              <w:top w:val="nil"/>
              <w:left w:val="single" w:sz="4" w:space="0" w:color="808080"/>
              <w:bottom w:val="single" w:sz="4" w:space="0" w:color="808080"/>
              <w:right w:val="single" w:sz="4" w:space="0" w:color="808080"/>
            </w:tcBorders>
            <w:shd w:val="clear" w:color="000000" w:fill="FFFFFF"/>
            <w:hideMark/>
          </w:tcPr>
          <w:p w14:paraId="35AB7FF8" w14:textId="77777777" w:rsidR="004760ED" w:rsidRPr="004760ED" w:rsidRDefault="004760ED" w:rsidP="004760ED">
            <w:pPr>
              <w:spacing w:after="0" w:line="240" w:lineRule="auto"/>
              <w:rPr>
                <w:rFonts w:ascii="Helvetica" w:eastAsia="Times New Roman" w:hAnsi="Helvetica" w:cs="Helvetica"/>
                <w:color w:val="000000"/>
              </w:rPr>
            </w:pPr>
            <w:r w:rsidRPr="004760ED">
              <w:rPr>
                <w:rFonts w:ascii="Helvetica" w:eastAsia="Times New Roman" w:hAnsi="Helvetica" w:cs="Helvetica"/>
                <w:color w:val="000000"/>
              </w:rPr>
              <w:t>$50 to $99                                                                             </w:t>
            </w:r>
          </w:p>
        </w:tc>
        <w:tc>
          <w:tcPr>
            <w:tcW w:w="1457" w:type="dxa"/>
            <w:tcBorders>
              <w:top w:val="nil"/>
              <w:left w:val="nil"/>
              <w:bottom w:val="single" w:sz="4" w:space="0" w:color="808080"/>
              <w:right w:val="single" w:sz="4" w:space="0" w:color="808080"/>
            </w:tcBorders>
            <w:shd w:val="clear" w:color="000000" w:fill="FFFFFF"/>
            <w:vAlign w:val="bottom"/>
            <w:hideMark/>
          </w:tcPr>
          <w:p w14:paraId="0F5920CB" w14:textId="77777777" w:rsidR="004760ED" w:rsidRPr="004760ED" w:rsidRDefault="004760ED" w:rsidP="004760ED">
            <w:pPr>
              <w:spacing w:after="0" w:line="240" w:lineRule="auto"/>
              <w:jc w:val="right"/>
              <w:rPr>
                <w:rFonts w:ascii="Helvetica" w:eastAsia="Times New Roman" w:hAnsi="Helvetica" w:cs="Helvetica"/>
                <w:color w:val="000000"/>
              </w:rPr>
            </w:pPr>
            <w:r w:rsidRPr="004760ED">
              <w:rPr>
                <w:rFonts w:ascii="Helvetica" w:eastAsia="Times New Roman" w:hAnsi="Helvetica" w:cs="Helvetica"/>
                <w:color w:val="000000"/>
              </w:rPr>
              <w:t xml:space="preserve">           S</w:t>
            </w:r>
          </w:p>
        </w:tc>
      </w:tr>
      <w:tr w:rsidR="004760ED" w:rsidRPr="004760ED" w14:paraId="24A24490" w14:textId="77777777" w:rsidTr="004760ED">
        <w:trPr>
          <w:trHeight w:val="275"/>
          <w:jc w:val="center"/>
        </w:trPr>
        <w:tc>
          <w:tcPr>
            <w:tcW w:w="8805" w:type="dxa"/>
            <w:tcBorders>
              <w:top w:val="nil"/>
              <w:left w:val="single" w:sz="4" w:space="0" w:color="808080"/>
              <w:bottom w:val="single" w:sz="4" w:space="0" w:color="808080"/>
              <w:right w:val="single" w:sz="4" w:space="0" w:color="808080"/>
            </w:tcBorders>
            <w:shd w:val="clear" w:color="000000" w:fill="FFFFFF"/>
            <w:hideMark/>
          </w:tcPr>
          <w:p w14:paraId="1955A67F" w14:textId="77777777" w:rsidR="004760ED" w:rsidRPr="004760ED" w:rsidRDefault="004760ED" w:rsidP="004760ED">
            <w:pPr>
              <w:spacing w:after="0" w:line="240" w:lineRule="auto"/>
              <w:rPr>
                <w:rFonts w:ascii="Helvetica" w:eastAsia="Times New Roman" w:hAnsi="Helvetica" w:cs="Helvetica"/>
                <w:color w:val="000000"/>
              </w:rPr>
            </w:pPr>
            <w:r w:rsidRPr="004760ED">
              <w:rPr>
                <w:rFonts w:ascii="Helvetica" w:eastAsia="Times New Roman" w:hAnsi="Helvetica" w:cs="Helvetica"/>
                <w:color w:val="000000"/>
              </w:rPr>
              <w:t>$100 to $149                                                                           </w:t>
            </w:r>
          </w:p>
        </w:tc>
        <w:tc>
          <w:tcPr>
            <w:tcW w:w="1457" w:type="dxa"/>
            <w:tcBorders>
              <w:top w:val="nil"/>
              <w:left w:val="nil"/>
              <w:bottom w:val="single" w:sz="4" w:space="0" w:color="808080"/>
              <w:right w:val="single" w:sz="4" w:space="0" w:color="808080"/>
            </w:tcBorders>
            <w:shd w:val="clear" w:color="000000" w:fill="FFFFFF"/>
            <w:vAlign w:val="bottom"/>
            <w:hideMark/>
          </w:tcPr>
          <w:p w14:paraId="05E105A5" w14:textId="77777777" w:rsidR="004760ED" w:rsidRPr="004760ED" w:rsidRDefault="004760ED" w:rsidP="004760ED">
            <w:pPr>
              <w:spacing w:after="0" w:line="240" w:lineRule="auto"/>
              <w:jc w:val="right"/>
              <w:rPr>
                <w:rFonts w:ascii="Helvetica" w:eastAsia="Times New Roman" w:hAnsi="Helvetica" w:cs="Helvetica"/>
                <w:color w:val="000000"/>
              </w:rPr>
            </w:pPr>
            <w:r w:rsidRPr="004760ED">
              <w:rPr>
                <w:rFonts w:ascii="Helvetica" w:eastAsia="Times New Roman" w:hAnsi="Helvetica" w:cs="Helvetica"/>
                <w:color w:val="000000"/>
              </w:rPr>
              <w:t xml:space="preserve">           S</w:t>
            </w:r>
          </w:p>
        </w:tc>
      </w:tr>
      <w:tr w:rsidR="004760ED" w:rsidRPr="004760ED" w14:paraId="52BEBC51" w14:textId="77777777" w:rsidTr="004760ED">
        <w:trPr>
          <w:trHeight w:val="275"/>
          <w:jc w:val="center"/>
        </w:trPr>
        <w:tc>
          <w:tcPr>
            <w:tcW w:w="8805" w:type="dxa"/>
            <w:tcBorders>
              <w:top w:val="nil"/>
              <w:left w:val="single" w:sz="4" w:space="0" w:color="808080"/>
              <w:bottom w:val="single" w:sz="4" w:space="0" w:color="808080"/>
              <w:right w:val="single" w:sz="4" w:space="0" w:color="808080"/>
            </w:tcBorders>
            <w:shd w:val="clear" w:color="000000" w:fill="FFFFFF"/>
            <w:hideMark/>
          </w:tcPr>
          <w:p w14:paraId="002D15F1" w14:textId="77777777" w:rsidR="004760ED" w:rsidRPr="004760ED" w:rsidRDefault="004760ED" w:rsidP="004760ED">
            <w:pPr>
              <w:spacing w:after="0" w:line="240" w:lineRule="auto"/>
              <w:rPr>
                <w:rFonts w:ascii="Helvetica" w:eastAsia="Times New Roman" w:hAnsi="Helvetica" w:cs="Helvetica"/>
                <w:color w:val="000000"/>
              </w:rPr>
            </w:pPr>
            <w:r w:rsidRPr="004760ED">
              <w:rPr>
                <w:rFonts w:ascii="Helvetica" w:eastAsia="Times New Roman" w:hAnsi="Helvetica" w:cs="Helvetica"/>
                <w:color w:val="000000"/>
              </w:rPr>
              <w:t>$150 to $199                                                                           </w:t>
            </w:r>
          </w:p>
        </w:tc>
        <w:tc>
          <w:tcPr>
            <w:tcW w:w="1457" w:type="dxa"/>
            <w:tcBorders>
              <w:top w:val="nil"/>
              <w:left w:val="nil"/>
              <w:bottom w:val="single" w:sz="4" w:space="0" w:color="808080"/>
              <w:right w:val="single" w:sz="4" w:space="0" w:color="808080"/>
            </w:tcBorders>
            <w:shd w:val="clear" w:color="000000" w:fill="FFFFFF"/>
            <w:vAlign w:val="bottom"/>
            <w:hideMark/>
          </w:tcPr>
          <w:p w14:paraId="5CAF78EB" w14:textId="77777777" w:rsidR="004760ED" w:rsidRPr="004760ED" w:rsidRDefault="004760ED" w:rsidP="004760ED">
            <w:pPr>
              <w:spacing w:after="0" w:line="240" w:lineRule="auto"/>
              <w:jc w:val="right"/>
              <w:rPr>
                <w:rFonts w:ascii="Helvetica" w:eastAsia="Times New Roman" w:hAnsi="Helvetica" w:cs="Helvetica"/>
                <w:color w:val="000000"/>
              </w:rPr>
            </w:pPr>
            <w:r w:rsidRPr="004760ED">
              <w:rPr>
                <w:rFonts w:ascii="Helvetica" w:eastAsia="Times New Roman" w:hAnsi="Helvetica" w:cs="Helvetica"/>
                <w:color w:val="000000"/>
              </w:rPr>
              <w:t xml:space="preserve">           S</w:t>
            </w:r>
          </w:p>
        </w:tc>
      </w:tr>
      <w:tr w:rsidR="004760ED" w:rsidRPr="004760ED" w14:paraId="656E085E" w14:textId="77777777" w:rsidTr="004760ED">
        <w:trPr>
          <w:trHeight w:val="275"/>
          <w:jc w:val="center"/>
        </w:trPr>
        <w:tc>
          <w:tcPr>
            <w:tcW w:w="8805" w:type="dxa"/>
            <w:tcBorders>
              <w:top w:val="nil"/>
              <w:left w:val="single" w:sz="4" w:space="0" w:color="808080"/>
              <w:bottom w:val="single" w:sz="4" w:space="0" w:color="808080"/>
              <w:right w:val="single" w:sz="4" w:space="0" w:color="808080"/>
            </w:tcBorders>
            <w:shd w:val="clear" w:color="000000" w:fill="FFFFFF"/>
            <w:hideMark/>
          </w:tcPr>
          <w:p w14:paraId="7A4B5BB2" w14:textId="77777777" w:rsidR="004760ED" w:rsidRPr="004760ED" w:rsidRDefault="004760ED" w:rsidP="004760ED">
            <w:pPr>
              <w:spacing w:after="0" w:line="240" w:lineRule="auto"/>
              <w:rPr>
                <w:rFonts w:ascii="Helvetica" w:eastAsia="Times New Roman" w:hAnsi="Helvetica" w:cs="Helvetica"/>
                <w:color w:val="000000"/>
              </w:rPr>
            </w:pPr>
            <w:r w:rsidRPr="004760ED">
              <w:rPr>
                <w:rFonts w:ascii="Helvetica" w:eastAsia="Times New Roman" w:hAnsi="Helvetica" w:cs="Helvetica"/>
                <w:color w:val="000000"/>
              </w:rPr>
              <w:t>$200 to $299                                                                           </w:t>
            </w:r>
          </w:p>
        </w:tc>
        <w:tc>
          <w:tcPr>
            <w:tcW w:w="1457" w:type="dxa"/>
            <w:tcBorders>
              <w:top w:val="nil"/>
              <w:left w:val="nil"/>
              <w:bottom w:val="single" w:sz="4" w:space="0" w:color="808080"/>
              <w:right w:val="single" w:sz="4" w:space="0" w:color="808080"/>
            </w:tcBorders>
            <w:shd w:val="clear" w:color="000000" w:fill="FFFFFF"/>
            <w:vAlign w:val="bottom"/>
            <w:hideMark/>
          </w:tcPr>
          <w:p w14:paraId="3809A790" w14:textId="77777777" w:rsidR="004760ED" w:rsidRPr="004760ED" w:rsidRDefault="004760ED" w:rsidP="004760ED">
            <w:pPr>
              <w:spacing w:after="0" w:line="240" w:lineRule="auto"/>
              <w:jc w:val="right"/>
              <w:rPr>
                <w:rFonts w:ascii="Helvetica" w:eastAsia="Times New Roman" w:hAnsi="Helvetica" w:cs="Helvetica"/>
                <w:color w:val="000000"/>
              </w:rPr>
            </w:pPr>
            <w:r w:rsidRPr="004760ED">
              <w:rPr>
                <w:rFonts w:ascii="Helvetica" w:eastAsia="Times New Roman" w:hAnsi="Helvetica" w:cs="Helvetica"/>
                <w:color w:val="000000"/>
              </w:rPr>
              <w:t xml:space="preserve">           S</w:t>
            </w:r>
          </w:p>
        </w:tc>
      </w:tr>
      <w:tr w:rsidR="004760ED" w:rsidRPr="004760ED" w14:paraId="015903F2" w14:textId="77777777" w:rsidTr="004760ED">
        <w:trPr>
          <w:trHeight w:val="275"/>
          <w:jc w:val="center"/>
        </w:trPr>
        <w:tc>
          <w:tcPr>
            <w:tcW w:w="8805" w:type="dxa"/>
            <w:tcBorders>
              <w:top w:val="nil"/>
              <w:left w:val="single" w:sz="4" w:space="0" w:color="808080"/>
              <w:bottom w:val="single" w:sz="4" w:space="0" w:color="808080"/>
              <w:right w:val="single" w:sz="4" w:space="0" w:color="808080"/>
            </w:tcBorders>
            <w:shd w:val="clear" w:color="000000" w:fill="FFFFFF"/>
            <w:hideMark/>
          </w:tcPr>
          <w:p w14:paraId="4943DBCF" w14:textId="77777777" w:rsidR="004760ED" w:rsidRPr="004760ED" w:rsidRDefault="004760ED" w:rsidP="004760ED">
            <w:pPr>
              <w:spacing w:after="0" w:line="240" w:lineRule="auto"/>
              <w:rPr>
                <w:rFonts w:ascii="Helvetica" w:eastAsia="Times New Roman" w:hAnsi="Helvetica" w:cs="Helvetica"/>
                <w:color w:val="000000"/>
              </w:rPr>
            </w:pPr>
            <w:r w:rsidRPr="004760ED">
              <w:rPr>
                <w:rFonts w:ascii="Helvetica" w:eastAsia="Times New Roman" w:hAnsi="Helvetica" w:cs="Helvetica"/>
                <w:color w:val="000000"/>
              </w:rPr>
              <w:t>$300 to $499                                                                           </w:t>
            </w:r>
          </w:p>
        </w:tc>
        <w:tc>
          <w:tcPr>
            <w:tcW w:w="1457" w:type="dxa"/>
            <w:tcBorders>
              <w:top w:val="nil"/>
              <w:left w:val="nil"/>
              <w:bottom w:val="single" w:sz="4" w:space="0" w:color="808080"/>
              <w:right w:val="single" w:sz="4" w:space="0" w:color="808080"/>
            </w:tcBorders>
            <w:shd w:val="clear" w:color="000000" w:fill="FFFFFF"/>
            <w:vAlign w:val="bottom"/>
            <w:hideMark/>
          </w:tcPr>
          <w:p w14:paraId="4B546FFC" w14:textId="77777777" w:rsidR="004760ED" w:rsidRPr="004760ED" w:rsidRDefault="004760ED" w:rsidP="004760ED">
            <w:pPr>
              <w:spacing w:after="0" w:line="240" w:lineRule="auto"/>
              <w:jc w:val="right"/>
              <w:rPr>
                <w:rFonts w:ascii="Helvetica" w:eastAsia="Times New Roman" w:hAnsi="Helvetica" w:cs="Helvetica"/>
                <w:color w:val="000000"/>
              </w:rPr>
            </w:pPr>
            <w:r w:rsidRPr="004760ED">
              <w:rPr>
                <w:rFonts w:ascii="Helvetica" w:eastAsia="Times New Roman" w:hAnsi="Helvetica" w:cs="Helvetica"/>
                <w:color w:val="000000"/>
              </w:rPr>
              <w:t xml:space="preserve">           S</w:t>
            </w:r>
          </w:p>
        </w:tc>
      </w:tr>
      <w:tr w:rsidR="004760ED" w:rsidRPr="004760ED" w14:paraId="7B1E15EB" w14:textId="77777777" w:rsidTr="004760ED">
        <w:trPr>
          <w:trHeight w:val="275"/>
          <w:jc w:val="center"/>
        </w:trPr>
        <w:tc>
          <w:tcPr>
            <w:tcW w:w="8805" w:type="dxa"/>
            <w:tcBorders>
              <w:top w:val="nil"/>
              <w:left w:val="single" w:sz="4" w:space="0" w:color="808080"/>
              <w:bottom w:val="single" w:sz="4" w:space="0" w:color="808080"/>
              <w:right w:val="single" w:sz="4" w:space="0" w:color="808080"/>
            </w:tcBorders>
            <w:shd w:val="clear" w:color="000000" w:fill="FFFFFF"/>
            <w:hideMark/>
          </w:tcPr>
          <w:p w14:paraId="4EF915E2" w14:textId="77777777" w:rsidR="004760ED" w:rsidRPr="004760ED" w:rsidRDefault="004760ED" w:rsidP="004760ED">
            <w:pPr>
              <w:spacing w:after="0" w:line="240" w:lineRule="auto"/>
              <w:rPr>
                <w:rFonts w:ascii="Helvetica" w:eastAsia="Times New Roman" w:hAnsi="Helvetica" w:cs="Helvetica"/>
                <w:color w:val="000000"/>
              </w:rPr>
            </w:pPr>
            <w:r w:rsidRPr="004760ED">
              <w:rPr>
                <w:rFonts w:ascii="Helvetica" w:eastAsia="Times New Roman" w:hAnsi="Helvetica" w:cs="Helvetica"/>
                <w:color w:val="000000"/>
              </w:rPr>
              <w:t>$500 or more per month                                                                 </w:t>
            </w:r>
          </w:p>
        </w:tc>
        <w:tc>
          <w:tcPr>
            <w:tcW w:w="1457" w:type="dxa"/>
            <w:tcBorders>
              <w:top w:val="nil"/>
              <w:left w:val="nil"/>
              <w:bottom w:val="single" w:sz="4" w:space="0" w:color="808080"/>
              <w:right w:val="single" w:sz="4" w:space="0" w:color="808080"/>
            </w:tcBorders>
            <w:shd w:val="clear" w:color="000000" w:fill="FFFFFF"/>
            <w:vAlign w:val="bottom"/>
            <w:hideMark/>
          </w:tcPr>
          <w:p w14:paraId="44C95712" w14:textId="77777777" w:rsidR="004760ED" w:rsidRPr="004760ED" w:rsidRDefault="004760ED" w:rsidP="004760ED">
            <w:pPr>
              <w:spacing w:after="0" w:line="240" w:lineRule="auto"/>
              <w:jc w:val="right"/>
              <w:rPr>
                <w:rFonts w:ascii="Helvetica" w:eastAsia="Times New Roman" w:hAnsi="Helvetica" w:cs="Helvetica"/>
                <w:color w:val="000000"/>
              </w:rPr>
            </w:pPr>
            <w:r w:rsidRPr="004760ED">
              <w:rPr>
                <w:rFonts w:ascii="Helvetica" w:eastAsia="Times New Roman" w:hAnsi="Helvetica" w:cs="Helvetica"/>
                <w:color w:val="000000"/>
              </w:rPr>
              <w:t xml:space="preserve">           S</w:t>
            </w:r>
          </w:p>
        </w:tc>
      </w:tr>
      <w:tr w:rsidR="004760ED" w:rsidRPr="004760ED" w14:paraId="4D08A91F" w14:textId="77777777" w:rsidTr="004760ED">
        <w:trPr>
          <w:trHeight w:val="275"/>
          <w:jc w:val="center"/>
        </w:trPr>
        <w:tc>
          <w:tcPr>
            <w:tcW w:w="8805" w:type="dxa"/>
            <w:tcBorders>
              <w:top w:val="nil"/>
              <w:left w:val="single" w:sz="4" w:space="0" w:color="808080"/>
              <w:bottom w:val="single" w:sz="4" w:space="0" w:color="808080"/>
              <w:right w:val="single" w:sz="4" w:space="0" w:color="808080"/>
            </w:tcBorders>
            <w:shd w:val="clear" w:color="000000" w:fill="FFFFFF"/>
            <w:hideMark/>
          </w:tcPr>
          <w:p w14:paraId="4C3BC40B" w14:textId="77777777" w:rsidR="004760ED" w:rsidRPr="004760ED" w:rsidRDefault="004760ED" w:rsidP="004760ED">
            <w:pPr>
              <w:spacing w:after="0" w:line="240" w:lineRule="auto"/>
              <w:rPr>
                <w:rFonts w:ascii="Helvetica" w:eastAsia="Times New Roman" w:hAnsi="Helvetica" w:cs="Helvetica"/>
                <w:color w:val="000000"/>
              </w:rPr>
            </w:pPr>
            <w:r w:rsidRPr="004760ED">
              <w:rPr>
                <w:rFonts w:ascii="Helvetica" w:eastAsia="Times New Roman" w:hAnsi="Helvetica" w:cs="Helvetica"/>
                <w:color w:val="000000"/>
              </w:rPr>
              <w:t>Not reported                                                                           </w:t>
            </w:r>
          </w:p>
        </w:tc>
        <w:tc>
          <w:tcPr>
            <w:tcW w:w="1457" w:type="dxa"/>
            <w:tcBorders>
              <w:top w:val="nil"/>
              <w:left w:val="nil"/>
              <w:bottom w:val="single" w:sz="4" w:space="0" w:color="808080"/>
              <w:right w:val="single" w:sz="4" w:space="0" w:color="808080"/>
            </w:tcBorders>
            <w:shd w:val="clear" w:color="000000" w:fill="FFFFFF"/>
            <w:vAlign w:val="bottom"/>
            <w:hideMark/>
          </w:tcPr>
          <w:p w14:paraId="2BDCB496" w14:textId="77777777" w:rsidR="004760ED" w:rsidRPr="004760ED" w:rsidRDefault="004760ED" w:rsidP="004760ED">
            <w:pPr>
              <w:spacing w:after="0" w:line="240" w:lineRule="auto"/>
              <w:jc w:val="right"/>
              <w:rPr>
                <w:rFonts w:ascii="Helvetica" w:eastAsia="Times New Roman" w:hAnsi="Helvetica" w:cs="Helvetica"/>
                <w:color w:val="000000"/>
              </w:rPr>
            </w:pPr>
            <w:r w:rsidRPr="004760ED">
              <w:rPr>
                <w:rFonts w:ascii="Helvetica" w:eastAsia="Times New Roman" w:hAnsi="Helvetica" w:cs="Helvetica"/>
                <w:color w:val="000000"/>
              </w:rPr>
              <w:t xml:space="preserve">           S</w:t>
            </w:r>
          </w:p>
        </w:tc>
      </w:tr>
      <w:tr w:rsidR="004760ED" w:rsidRPr="004760ED" w14:paraId="73E6A419" w14:textId="77777777" w:rsidTr="004760ED">
        <w:trPr>
          <w:trHeight w:val="259"/>
          <w:jc w:val="center"/>
        </w:trPr>
        <w:tc>
          <w:tcPr>
            <w:tcW w:w="8805" w:type="dxa"/>
            <w:tcBorders>
              <w:top w:val="nil"/>
              <w:left w:val="single" w:sz="4" w:space="0" w:color="808080"/>
              <w:bottom w:val="single" w:sz="4" w:space="0" w:color="808080"/>
              <w:right w:val="single" w:sz="4" w:space="0" w:color="808080"/>
            </w:tcBorders>
            <w:shd w:val="clear" w:color="000000" w:fill="FFFFFF"/>
            <w:hideMark/>
          </w:tcPr>
          <w:p w14:paraId="604CE0CD" w14:textId="77777777" w:rsidR="004760ED" w:rsidRPr="004760ED" w:rsidRDefault="004760ED" w:rsidP="004760ED">
            <w:pPr>
              <w:spacing w:after="0" w:line="240" w:lineRule="auto"/>
              <w:rPr>
                <w:rFonts w:ascii="Helvetica" w:eastAsia="Times New Roman" w:hAnsi="Helvetica" w:cs="Helvetica"/>
                <w:b/>
                <w:bCs/>
                <w:color w:val="000000"/>
              </w:rPr>
            </w:pPr>
            <w:r w:rsidRPr="004760ED">
              <w:rPr>
                <w:rFonts w:ascii="Helvetica" w:eastAsia="Times New Roman" w:hAnsi="Helvetica" w:cs="Helvetica"/>
                <w:b/>
                <w:bCs/>
                <w:color w:val="000000"/>
              </w:rPr>
              <w:t>Median (dollars per </w:t>
            </w:r>
            <w:proofErr w:type="gramStart"/>
            <w:r w:rsidRPr="004760ED">
              <w:rPr>
                <w:rFonts w:ascii="Helvetica" w:eastAsia="Times New Roman" w:hAnsi="Helvetica" w:cs="Helvetica"/>
                <w:b/>
                <w:bCs/>
                <w:color w:val="000000"/>
              </w:rPr>
              <w:t>month)   </w:t>
            </w:r>
            <w:proofErr w:type="gramEnd"/>
            <w:r w:rsidRPr="004760ED">
              <w:rPr>
                <w:rFonts w:ascii="Helvetica" w:eastAsia="Times New Roman" w:hAnsi="Helvetica" w:cs="Helvetica"/>
                <w:b/>
                <w:bCs/>
                <w:color w:val="000000"/>
              </w:rPr>
              <w:t>                                                          </w:t>
            </w:r>
          </w:p>
        </w:tc>
        <w:tc>
          <w:tcPr>
            <w:tcW w:w="1457" w:type="dxa"/>
            <w:tcBorders>
              <w:top w:val="nil"/>
              <w:left w:val="nil"/>
              <w:bottom w:val="single" w:sz="4" w:space="0" w:color="808080"/>
              <w:right w:val="single" w:sz="4" w:space="0" w:color="808080"/>
            </w:tcBorders>
            <w:shd w:val="clear" w:color="000000" w:fill="FFFFFF"/>
            <w:vAlign w:val="bottom"/>
            <w:hideMark/>
          </w:tcPr>
          <w:p w14:paraId="005910D0" w14:textId="77777777" w:rsidR="004760ED" w:rsidRPr="004760ED" w:rsidRDefault="004760ED" w:rsidP="004760ED">
            <w:pPr>
              <w:spacing w:after="0" w:line="240" w:lineRule="auto"/>
              <w:jc w:val="right"/>
              <w:rPr>
                <w:rFonts w:ascii="Helvetica" w:eastAsia="Times New Roman" w:hAnsi="Helvetica" w:cs="Helvetica"/>
                <w:color w:val="000000"/>
              </w:rPr>
            </w:pPr>
            <w:r w:rsidRPr="004760ED">
              <w:rPr>
                <w:rFonts w:ascii="Helvetica" w:eastAsia="Times New Roman" w:hAnsi="Helvetica" w:cs="Helvetica"/>
                <w:color w:val="000000"/>
              </w:rPr>
              <w:t xml:space="preserve">           S</w:t>
            </w:r>
          </w:p>
        </w:tc>
      </w:tr>
    </w:tbl>
    <w:p w14:paraId="79147995" w14:textId="5A0D4DAD" w:rsidR="004760ED" w:rsidRDefault="004760ED" w:rsidP="00FA487B">
      <w:pPr>
        <w:rPr>
          <w:rFonts w:ascii="Times New Roman" w:hAnsi="Times New Roman" w:cs="Times New Roman"/>
          <w:sz w:val="24"/>
          <w:szCs w:val="24"/>
        </w:rPr>
      </w:pPr>
    </w:p>
    <w:p w14:paraId="4B69D03F" w14:textId="3566D807" w:rsidR="004760ED" w:rsidRDefault="004760ED" w:rsidP="00FA487B">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EE0C3F" w:rsidRPr="00EE0C3F" w14:paraId="116D4CE4" w14:textId="77777777" w:rsidTr="00EE0C3F">
        <w:trPr>
          <w:trHeight w:val="759"/>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45ACCE25" w14:textId="77777777" w:rsidR="00EE0C3F" w:rsidRPr="00EE0C3F" w:rsidRDefault="00EE0C3F" w:rsidP="00EE0C3F">
            <w:pPr>
              <w:spacing w:after="0" w:line="240" w:lineRule="auto"/>
              <w:jc w:val="center"/>
              <w:rPr>
                <w:rFonts w:ascii="Helvetica" w:eastAsia="Times New Roman" w:hAnsi="Helvetica" w:cs="Helvetica"/>
                <w:color w:val="000000"/>
                <w:sz w:val="25"/>
                <w:szCs w:val="25"/>
              </w:rPr>
            </w:pPr>
            <w:r w:rsidRPr="00EE0C3F">
              <w:rPr>
                <w:rFonts w:ascii="Helvetica" w:eastAsia="Times New Roman" w:hAnsi="Helvetica" w:cs="Helvetica"/>
                <w:color w:val="000000"/>
                <w:sz w:val="25"/>
                <w:szCs w:val="25"/>
              </w:rPr>
              <w:t xml:space="preserve">2019 Houston - Housing Costs - All Occupied Units    </w:t>
            </w:r>
            <w:r w:rsidRPr="00EE0C3F">
              <w:rPr>
                <w:rFonts w:ascii="Helvetica" w:eastAsia="Times New Roman" w:hAnsi="Helvetica" w:cs="Helvetica"/>
                <w:color w:val="000000"/>
                <w:sz w:val="25"/>
                <w:szCs w:val="25"/>
              </w:rPr>
              <w:br/>
              <w:t>Houston-The Woodlands-Sugar Land, TX MSA (2013 OMB definition)</w:t>
            </w:r>
          </w:p>
        </w:tc>
      </w:tr>
      <w:tr w:rsidR="00EE0C3F" w:rsidRPr="00EE0C3F" w14:paraId="06B774B7" w14:textId="77777777" w:rsidTr="00EE0C3F">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292B8C70" w14:textId="77777777" w:rsidR="00EE0C3F" w:rsidRPr="00EE0C3F" w:rsidRDefault="00EE0C3F" w:rsidP="00EE0C3F">
            <w:pPr>
              <w:spacing w:after="0" w:line="240" w:lineRule="auto"/>
              <w:rPr>
                <w:rFonts w:ascii="Helvetica" w:eastAsia="Times New Roman" w:hAnsi="Helvetica" w:cs="Helvetica"/>
                <w:b/>
                <w:bCs/>
                <w:color w:val="000000"/>
                <w:sz w:val="16"/>
                <w:szCs w:val="16"/>
              </w:rPr>
            </w:pPr>
            <w:r w:rsidRPr="00EE0C3F">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EE0C3F" w:rsidRPr="00EE0C3F" w14:paraId="30016032" w14:textId="77777777" w:rsidTr="00EE0C3F">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470543A8" w14:textId="77777777" w:rsidR="00EE0C3F" w:rsidRPr="00EE0C3F" w:rsidRDefault="00235B6F" w:rsidP="00EE0C3F">
            <w:pPr>
              <w:spacing w:after="0" w:line="240" w:lineRule="auto"/>
              <w:jc w:val="center"/>
              <w:rPr>
                <w:rFonts w:ascii="Helvetica" w:eastAsia="Times New Roman" w:hAnsi="Helvetica" w:cs="Helvetica"/>
                <w:b/>
                <w:bCs/>
                <w:color w:val="0000FF"/>
                <w:sz w:val="18"/>
                <w:szCs w:val="18"/>
                <w:u w:val="single"/>
              </w:rPr>
            </w:pPr>
            <w:hyperlink r:id="rId15" w:history="1">
              <w:r w:rsidR="00EE0C3F" w:rsidRPr="00EE0C3F">
                <w:rPr>
                  <w:rFonts w:ascii="Helvetica" w:eastAsia="Times New Roman" w:hAnsi="Helvetica" w:cs="Helvetica"/>
                  <w:b/>
                  <w:bCs/>
                  <w:color w:val="0000FF"/>
                  <w:sz w:val="18"/>
                  <w:szCs w:val="18"/>
                  <w:u w:val="single"/>
                </w:rPr>
                <w:t>Subject Definitions</w:t>
              </w:r>
            </w:hyperlink>
          </w:p>
        </w:tc>
      </w:tr>
      <w:tr w:rsidR="00EE0C3F" w:rsidRPr="00EE0C3F" w14:paraId="1094FF3F" w14:textId="77777777" w:rsidTr="00EE0C3F">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3FD421AD" w14:textId="77777777" w:rsidR="00EE0C3F" w:rsidRPr="00EE0C3F" w:rsidRDefault="00EE0C3F" w:rsidP="00EE0C3F">
            <w:pPr>
              <w:spacing w:after="0" w:line="240" w:lineRule="auto"/>
              <w:rPr>
                <w:rFonts w:ascii="Helvetica" w:eastAsia="Times New Roman" w:hAnsi="Helvetica" w:cs="Helvetica"/>
                <w:color w:val="000000"/>
              </w:rPr>
            </w:pPr>
            <w:r w:rsidRPr="00EE0C3F">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481CB693" w14:textId="77777777" w:rsidR="00EE0C3F" w:rsidRPr="00EE0C3F" w:rsidRDefault="00EE0C3F" w:rsidP="00EE0C3F">
            <w:pPr>
              <w:spacing w:after="0" w:line="240" w:lineRule="auto"/>
              <w:rPr>
                <w:rFonts w:ascii="Helvetica" w:eastAsia="Times New Roman" w:hAnsi="Helvetica" w:cs="Helvetica"/>
                <w:color w:val="000000"/>
              </w:rPr>
            </w:pPr>
            <w:r w:rsidRPr="00EE0C3F">
              <w:rPr>
                <w:rFonts w:ascii="Helvetica" w:eastAsia="Times New Roman" w:hAnsi="Helvetica" w:cs="Helvetica"/>
                <w:color w:val="000000"/>
              </w:rPr>
              <w:t> </w:t>
            </w:r>
          </w:p>
        </w:tc>
      </w:tr>
      <w:tr w:rsidR="00EE0C3F" w:rsidRPr="00EE0C3F" w14:paraId="5898A7CF" w14:textId="77777777" w:rsidTr="00EE0C3F">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3F10BF32" w14:textId="77777777" w:rsidR="00EE0C3F" w:rsidRPr="00EE0C3F" w:rsidRDefault="00EE0C3F" w:rsidP="00EE0C3F">
            <w:pPr>
              <w:spacing w:after="0" w:line="240" w:lineRule="auto"/>
              <w:jc w:val="center"/>
              <w:rPr>
                <w:rFonts w:ascii="Helvetica" w:eastAsia="Times New Roman" w:hAnsi="Helvetica" w:cs="Helvetica"/>
                <w:b/>
                <w:bCs/>
                <w:color w:val="000000"/>
              </w:rPr>
            </w:pPr>
            <w:r w:rsidRPr="00EE0C3F">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0083BA8F" w14:textId="77777777" w:rsidR="00EE0C3F" w:rsidRPr="00EE0C3F" w:rsidRDefault="00EE0C3F" w:rsidP="00EE0C3F">
            <w:pPr>
              <w:spacing w:after="0" w:line="240" w:lineRule="auto"/>
              <w:jc w:val="center"/>
              <w:rPr>
                <w:rFonts w:ascii="Helvetica" w:eastAsia="Times New Roman" w:hAnsi="Helvetica" w:cs="Helvetica"/>
                <w:b/>
                <w:bCs/>
                <w:color w:val="000000"/>
              </w:rPr>
            </w:pPr>
            <w:r w:rsidRPr="00EE0C3F">
              <w:rPr>
                <w:rFonts w:ascii="Helvetica" w:eastAsia="Times New Roman" w:hAnsi="Helvetica" w:cs="Helvetica"/>
                <w:b/>
                <w:bCs/>
                <w:color w:val="000000"/>
              </w:rPr>
              <w:t>Estimate</w:t>
            </w:r>
          </w:p>
        </w:tc>
      </w:tr>
      <w:tr w:rsidR="00EE0C3F" w:rsidRPr="00EE0C3F" w14:paraId="5EB02196" w14:textId="77777777" w:rsidTr="00EE0C3F">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736AA250" w14:textId="77777777" w:rsidR="00EE0C3F" w:rsidRPr="00EE0C3F" w:rsidRDefault="00EE0C3F" w:rsidP="00EE0C3F">
            <w:pPr>
              <w:spacing w:after="0" w:line="240" w:lineRule="auto"/>
              <w:rPr>
                <w:rFonts w:ascii="Helvetica" w:eastAsia="Times New Roman" w:hAnsi="Helvetica" w:cs="Helvetica"/>
                <w:b/>
                <w:bCs/>
                <w:color w:val="000000"/>
              </w:rPr>
            </w:pPr>
            <w:r w:rsidRPr="00EE0C3F">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5CE1D4DE" w14:textId="77777777" w:rsidR="00EE0C3F" w:rsidRPr="00EE0C3F" w:rsidRDefault="00EE0C3F" w:rsidP="00EE0C3F">
            <w:pPr>
              <w:spacing w:after="0" w:line="240" w:lineRule="auto"/>
              <w:jc w:val="right"/>
              <w:rPr>
                <w:rFonts w:ascii="Helvetica" w:eastAsia="Times New Roman" w:hAnsi="Helvetica" w:cs="Helvetica"/>
                <w:color w:val="000000"/>
              </w:rPr>
            </w:pPr>
            <w:r w:rsidRPr="00EE0C3F">
              <w:rPr>
                <w:rFonts w:ascii="Helvetica" w:eastAsia="Times New Roman" w:hAnsi="Helvetica" w:cs="Helvetica"/>
                <w:color w:val="000000"/>
              </w:rPr>
              <w:t xml:space="preserve">            </w:t>
            </w:r>
          </w:p>
        </w:tc>
      </w:tr>
      <w:tr w:rsidR="00EE0C3F" w:rsidRPr="00EE0C3F" w14:paraId="6C02CD9B" w14:textId="77777777" w:rsidTr="00EE0C3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60568A3" w14:textId="77777777" w:rsidR="00EE0C3F" w:rsidRPr="00EE0C3F" w:rsidRDefault="00EE0C3F" w:rsidP="00EE0C3F">
            <w:pPr>
              <w:spacing w:after="0" w:line="240" w:lineRule="auto"/>
              <w:rPr>
                <w:rFonts w:ascii="Helvetica" w:eastAsia="Times New Roman" w:hAnsi="Helvetica" w:cs="Helvetica"/>
                <w:color w:val="000000"/>
              </w:rPr>
            </w:pPr>
            <w:r w:rsidRPr="00EE0C3F">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388BF355" w14:textId="77777777" w:rsidR="00EE0C3F" w:rsidRPr="00EE0C3F" w:rsidRDefault="00EE0C3F" w:rsidP="00EE0C3F">
            <w:pPr>
              <w:spacing w:after="0" w:line="240" w:lineRule="auto"/>
              <w:jc w:val="right"/>
              <w:rPr>
                <w:rFonts w:ascii="Helvetica" w:eastAsia="Times New Roman" w:hAnsi="Helvetica" w:cs="Helvetica"/>
                <w:color w:val="000000"/>
              </w:rPr>
            </w:pPr>
            <w:r w:rsidRPr="00EE0C3F">
              <w:rPr>
                <w:rFonts w:ascii="Helvetica" w:eastAsia="Times New Roman" w:hAnsi="Helvetica" w:cs="Helvetica"/>
                <w:color w:val="000000"/>
              </w:rPr>
              <w:t xml:space="preserve">            </w:t>
            </w:r>
          </w:p>
        </w:tc>
      </w:tr>
      <w:tr w:rsidR="00EE0C3F" w:rsidRPr="00EE0C3F" w14:paraId="4906D478" w14:textId="77777777" w:rsidTr="00EE0C3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296A952" w14:textId="77777777" w:rsidR="00EE0C3F" w:rsidRPr="00EE0C3F" w:rsidRDefault="00EE0C3F" w:rsidP="00EE0C3F">
            <w:pPr>
              <w:spacing w:after="0" w:line="240" w:lineRule="auto"/>
              <w:rPr>
                <w:rFonts w:ascii="Helvetica" w:eastAsia="Times New Roman" w:hAnsi="Helvetica" w:cs="Helvetica"/>
                <w:color w:val="000000"/>
              </w:rPr>
            </w:pPr>
            <w:r w:rsidRPr="00EE0C3F">
              <w:rPr>
                <w:rFonts w:ascii="Helvetica" w:eastAsia="Times New Roman" w:hAnsi="Helvetica" w:cs="Helvetica"/>
                <w:color w:val="000000"/>
              </w:rPr>
              <w:lastRenderedPageBreak/>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28EA8BED" w14:textId="77777777" w:rsidR="00EE0C3F" w:rsidRPr="00EE0C3F" w:rsidRDefault="00EE0C3F" w:rsidP="00EE0C3F">
            <w:pPr>
              <w:spacing w:after="0" w:line="240" w:lineRule="auto"/>
              <w:jc w:val="right"/>
              <w:rPr>
                <w:rFonts w:ascii="Helvetica" w:eastAsia="Times New Roman" w:hAnsi="Helvetica" w:cs="Helvetica"/>
                <w:color w:val="000000"/>
              </w:rPr>
            </w:pPr>
            <w:r w:rsidRPr="00EE0C3F">
              <w:rPr>
                <w:rFonts w:ascii="Helvetica" w:eastAsia="Times New Roman" w:hAnsi="Helvetica" w:cs="Helvetica"/>
                <w:color w:val="000000"/>
              </w:rPr>
              <w:t>918.9</w:t>
            </w:r>
          </w:p>
        </w:tc>
      </w:tr>
      <w:tr w:rsidR="00EE0C3F" w:rsidRPr="00EE0C3F" w14:paraId="050BA561" w14:textId="77777777" w:rsidTr="00EE0C3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611E37A" w14:textId="77777777" w:rsidR="00EE0C3F" w:rsidRPr="00EE0C3F" w:rsidRDefault="00EE0C3F" w:rsidP="00EE0C3F">
            <w:pPr>
              <w:spacing w:after="0" w:line="240" w:lineRule="auto"/>
              <w:rPr>
                <w:rFonts w:ascii="Helvetica" w:eastAsia="Times New Roman" w:hAnsi="Helvetica" w:cs="Helvetica"/>
                <w:color w:val="000000"/>
              </w:rPr>
            </w:pPr>
            <w:r w:rsidRPr="00EE0C3F">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175077AB" w14:textId="77777777" w:rsidR="00EE0C3F" w:rsidRPr="00EE0C3F" w:rsidRDefault="00EE0C3F" w:rsidP="00EE0C3F">
            <w:pPr>
              <w:spacing w:after="0" w:line="240" w:lineRule="auto"/>
              <w:jc w:val="right"/>
              <w:rPr>
                <w:rFonts w:ascii="Helvetica" w:eastAsia="Times New Roman" w:hAnsi="Helvetica" w:cs="Helvetica"/>
                <w:color w:val="000000"/>
              </w:rPr>
            </w:pPr>
            <w:r w:rsidRPr="00EE0C3F">
              <w:rPr>
                <w:rFonts w:ascii="Helvetica" w:eastAsia="Times New Roman" w:hAnsi="Helvetica" w:cs="Helvetica"/>
                <w:color w:val="000000"/>
              </w:rPr>
              <w:t>415.0</w:t>
            </w:r>
          </w:p>
        </w:tc>
      </w:tr>
      <w:tr w:rsidR="00EE0C3F" w:rsidRPr="00EE0C3F" w14:paraId="1588CA3B" w14:textId="77777777" w:rsidTr="00EE0C3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AD42DF1" w14:textId="77777777" w:rsidR="00EE0C3F" w:rsidRPr="00EE0C3F" w:rsidRDefault="00EE0C3F" w:rsidP="00EE0C3F">
            <w:pPr>
              <w:spacing w:after="0" w:line="240" w:lineRule="auto"/>
              <w:rPr>
                <w:rFonts w:ascii="Helvetica" w:eastAsia="Times New Roman" w:hAnsi="Helvetica" w:cs="Helvetica"/>
                <w:color w:val="000000"/>
              </w:rPr>
            </w:pPr>
            <w:r w:rsidRPr="00EE0C3F">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28F336C4" w14:textId="77777777" w:rsidR="00EE0C3F" w:rsidRPr="00EE0C3F" w:rsidRDefault="00EE0C3F" w:rsidP="00EE0C3F">
            <w:pPr>
              <w:spacing w:after="0" w:line="240" w:lineRule="auto"/>
              <w:jc w:val="right"/>
              <w:rPr>
                <w:rFonts w:ascii="Helvetica" w:eastAsia="Times New Roman" w:hAnsi="Helvetica" w:cs="Helvetica"/>
                <w:color w:val="000000"/>
              </w:rPr>
            </w:pPr>
            <w:r w:rsidRPr="00EE0C3F">
              <w:rPr>
                <w:rFonts w:ascii="Helvetica" w:eastAsia="Times New Roman" w:hAnsi="Helvetica" w:cs="Helvetica"/>
                <w:color w:val="000000"/>
              </w:rPr>
              <w:t>232.5</w:t>
            </w:r>
          </w:p>
        </w:tc>
      </w:tr>
      <w:tr w:rsidR="00EE0C3F" w:rsidRPr="00EE0C3F" w14:paraId="37F17425" w14:textId="77777777" w:rsidTr="00EE0C3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BC308C9" w14:textId="77777777" w:rsidR="00EE0C3F" w:rsidRPr="00EE0C3F" w:rsidRDefault="00EE0C3F" w:rsidP="00EE0C3F">
            <w:pPr>
              <w:spacing w:after="0" w:line="240" w:lineRule="auto"/>
              <w:rPr>
                <w:rFonts w:ascii="Helvetica" w:eastAsia="Times New Roman" w:hAnsi="Helvetica" w:cs="Helvetica"/>
                <w:color w:val="000000"/>
              </w:rPr>
            </w:pPr>
            <w:r w:rsidRPr="00EE0C3F">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4434C835" w14:textId="77777777" w:rsidR="00EE0C3F" w:rsidRPr="00EE0C3F" w:rsidRDefault="00EE0C3F" w:rsidP="00EE0C3F">
            <w:pPr>
              <w:spacing w:after="0" w:line="240" w:lineRule="auto"/>
              <w:jc w:val="right"/>
              <w:rPr>
                <w:rFonts w:ascii="Helvetica" w:eastAsia="Times New Roman" w:hAnsi="Helvetica" w:cs="Helvetica"/>
                <w:color w:val="000000"/>
              </w:rPr>
            </w:pPr>
            <w:r w:rsidRPr="00EE0C3F">
              <w:rPr>
                <w:rFonts w:ascii="Helvetica" w:eastAsia="Times New Roman" w:hAnsi="Helvetica" w:cs="Helvetica"/>
                <w:color w:val="000000"/>
              </w:rPr>
              <w:t>52.8</w:t>
            </w:r>
          </w:p>
        </w:tc>
      </w:tr>
      <w:tr w:rsidR="00EE0C3F" w:rsidRPr="00EE0C3F" w14:paraId="3AC39DE9" w14:textId="77777777" w:rsidTr="00EE0C3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5016F94" w14:textId="77777777" w:rsidR="00EE0C3F" w:rsidRPr="00EE0C3F" w:rsidRDefault="00EE0C3F" w:rsidP="00EE0C3F">
            <w:pPr>
              <w:spacing w:after="0" w:line="240" w:lineRule="auto"/>
              <w:rPr>
                <w:rFonts w:ascii="Helvetica" w:eastAsia="Times New Roman" w:hAnsi="Helvetica" w:cs="Helvetica"/>
                <w:color w:val="000000"/>
              </w:rPr>
            </w:pPr>
            <w:r w:rsidRPr="00EE0C3F">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63226D2F" w14:textId="77777777" w:rsidR="00EE0C3F" w:rsidRPr="00EE0C3F" w:rsidRDefault="00EE0C3F" w:rsidP="00EE0C3F">
            <w:pPr>
              <w:spacing w:after="0" w:line="240" w:lineRule="auto"/>
              <w:jc w:val="right"/>
              <w:rPr>
                <w:rFonts w:ascii="Helvetica" w:eastAsia="Times New Roman" w:hAnsi="Helvetica" w:cs="Helvetica"/>
                <w:color w:val="000000"/>
              </w:rPr>
            </w:pPr>
            <w:r w:rsidRPr="00EE0C3F">
              <w:rPr>
                <w:rFonts w:ascii="Helvetica" w:eastAsia="Times New Roman" w:hAnsi="Helvetica" w:cs="Helvetica"/>
                <w:color w:val="000000"/>
              </w:rPr>
              <w:t>15.0</w:t>
            </w:r>
          </w:p>
        </w:tc>
      </w:tr>
      <w:tr w:rsidR="00EE0C3F" w:rsidRPr="00EE0C3F" w14:paraId="768547C0" w14:textId="77777777" w:rsidTr="00EE0C3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D8DB474" w14:textId="77777777" w:rsidR="00EE0C3F" w:rsidRPr="00EE0C3F" w:rsidRDefault="00EE0C3F" w:rsidP="00EE0C3F">
            <w:pPr>
              <w:spacing w:after="0" w:line="240" w:lineRule="auto"/>
              <w:rPr>
                <w:rFonts w:ascii="Helvetica" w:eastAsia="Times New Roman" w:hAnsi="Helvetica" w:cs="Helvetica"/>
                <w:color w:val="000000"/>
              </w:rPr>
            </w:pPr>
            <w:r w:rsidRPr="00EE0C3F">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4050CAEA" w14:textId="77777777" w:rsidR="00EE0C3F" w:rsidRPr="00EE0C3F" w:rsidRDefault="00EE0C3F" w:rsidP="00EE0C3F">
            <w:pPr>
              <w:spacing w:after="0" w:line="240" w:lineRule="auto"/>
              <w:jc w:val="right"/>
              <w:rPr>
                <w:rFonts w:ascii="Helvetica" w:eastAsia="Times New Roman" w:hAnsi="Helvetica" w:cs="Helvetica"/>
                <w:color w:val="000000"/>
              </w:rPr>
            </w:pPr>
            <w:r w:rsidRPr="00EE0C3F">
              <w:rPr>
                <w:rFonts w:ascii="Helvetica" w:eastAsia="Times New Roman" w:hAnsi="Helvetica" w:cs="Helvetica"/>
                <w:color w:val="000000"/>
              </w:rPr>
              <w:t>25.9</w:t>
            </w:r>
          </w:p>
        </w:tc>
      </w:tr>
      <w:tr w:rsidR="00EE0C3F" w:rsidRPr="00EE0C3F" w14:paraId="6D6CB5DD" w14:textId="77777777" w:rsidTr="00EE0C3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21E7B4C" w14:textId="77777777" w:rsidR="00EE0C3F" w:rsidRPr="00EE0C3F" w:rsidRDefault="00EE0C3F" w:rsidP="00EE0C3F">
            <w:pPr>
              <w:spacing w:after="0" w:line="240" w:lineRule="auto"/>
              <w:rPr>
                <w:rFonts w:ascii="Helvetica" w:eastAsia="Times New Roman" w:hAnsi="Helvetica" w:cs="Helvetica"/>
                <w:color w:val="000000"/>
              </w:rPr>
            </w:pPr>
            <w:r w:rsidRPr="00EE0C3F">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166CF7D7" w14:textId="77777777" w:rsidR="00EE0C3F" w:rsidRPr="00EE0C3F" w:rsidRDefault="00EE0C3F" w:rsidP="00EE0C3F">
            <w:pPr>
              <w:spacing w:after="0" w:line="240" w:lineRule="auto"/>
              <w:jc w:val="right"/>
              <w:rPr>
                <w:rFonts w:ascii="Helvetica" w:eastAsia="Times New Roman" w:hAnsi="Helvetica" w:cs="Helvetica"/>
                <w:color w:val="000000"/>
              </w:rPr>
            </w:pPr>
            <w:r w:rsidRPr="00EE0C3F">
              <w:rPr>
                <w:rFonts w:ascii="Helvetica" w:eastAsia="Times New Roman" w:hAnsi="Helvetica" w:cs="Helvetica"/>
                <w:color w:val="000000"/>
              </w:rPr>
              <w:t>29.9</w:t>
            </w:r>
          </w:p>
        </w:tc>
      </w:tr>
      <w:tr w:rsidR="00EE0C3F" w:rsidRPr="00EE0C3F" w14:paraId="45158DB1" w14:textId="77777777" w:rsidTr="00EE0C3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E89D96A" w14:textId="77777777" w:rsidR="00EE0C3F" w:rsidRPr="00EE0C3F" w:rsidRDefault="00EE0C3F" w:rsidP="00EE0C3F">
            <w:pPr>
              <w:spacing w:after="0" w:line="240" w:lineRule="auto"/>
              <w:rPr>
                <w:rFonts w:ascii="Helvetica" w:eastAsia="Times New Roman" w:hAnsi="Helvetica" w:cs="Helvetica"/>
                <w:color w:val="000000"/>
              </w:rPr>
            </w:pPr>
            <w:r w:rsidRPr="00EE0C3F">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0966BAB6" w14:textId="77777777" w:rsidR="00EE0C3F" w:rsidRPr="00EE0C3F" w:rsidRDefault="00EE0C3F" w:rsidP="00EE0C3F">
            <w:pPr>
              <w:spacing w:after="0" w:line="240" w:lineRule="auto"/>
              <w:jc w:val="right"/>
              <w:rPr>
                <w:rFonts w:ascii="Helvetica" w:eastAsia="Times New Roman" w:hAnsi="Helvetica" w:cs="Helvetica"/>
                <w:color w:val="000000"/>
              </w:rPr>
            </w:pPr>
            <w:r w:rsidRPr="00EE0C3F">
              <w:rPr>
                <w:rFonts w:ascii="Helvetica" w:eastAsia="Times New Roman" w:hAnsi="Helvetica" w:cs="Helvetica"/>
                <w:color w:val="000000"/>
              </w:rPr>
              <w:t>37.3</w:t>
            </w:r>
          </w:p>
        </w:tc>
      </w:tr>
      <w:tr w:rsidR="00EE0C3F" w:rsidRPr="00EE0C3F" w14:paraId="0F487B40" w14:textId="77777777" w:rsidTr="00EE0C3F">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6E99444" w14:textId="77777777" w:rsidR="00EE0C3F" w:rsidRPr="00EE0C3F" w:rsidRDefault="00EE0C3F" w:rsidP="00EE0C3F">
            <w:pPr>
              <w:spacing w:after="0" w:line="240" w:lineRule="auto"/>
              <w:rPr>
                <w:rFonts w:ascii="Helvetica" w:eastAsia="Times New Roman" w:hAnsi="Helvetica" w:cs="Helvetica"/>
                <w:color w:val="000000"/>
              </w:rPr>
            </w:pPr>
            <w:r w:rsidRPr="00EE0C3F">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29E9F428" w14:textId="77777777" w:rsidR="00EE0C3F" w:rsidRPr="00EE0C3F" w:rsidRDefault="00EE0C3F" w:rsidP="00EE0C3F">
            <w:pPr>
              <w:spacing w:after="0" w:line="240" w:lineRule="auto"/>
              <w:jc w:val="right"/>
              <w:rPr>
                <w:rFonts w:ascii="Helvetica" w:eastAsia="Times New Roman" w:hAnsi="Helvetica" w:cs="Helvetica"/>
                <w:color w:val="000000"/>
              </w:rPr>
            </w:pPr>
            <w:r w:rsidRPr="00EE0C3F">
              <w:rPr>
                <w:rFonts w:ascii="Helvetica" w:eastAsia="Times New Roman" w:hAnsi="Helvetica" w:cs="Helvetica"/>
                <w:color w:val="000000"/>
              </w:rPr>
              <w:t>110.5</w:t>
            </w:r>
          </w:p>
        </w:tc>
      </w:tr>
      <w:tr w:rsidR="00EE0C3F" w:rsidRPr="00EE0C3F" w14:paraId="08962E6B" w14:textId="77777777" w:rsidTr="00EE0C3F">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AACFC1F" w14:textId="77777777" w:rsidR="00EE0C3F" w:rsidRPr="00EE0C3F" w:rsidRDefault="00EE0C3F" w:rsidP="00EE0C3F">
            <w:pPr>
              <w:spacing w:after="0" w:line="240" w:lineRule="auto"/>
              <w:rPr>
                <w:rFonts w:ascii="Helvetica" w:eastAsia="Times New Roman" w:hAnsi="Helvetica" w:cs="Helvetica"/>
                <w:b/>
                <w:bCs/>
                <w:color w:val="000000"/>
              </w:rPr>
            </w:pPr>
            <w:r w:rsidRPr="00EE0C3F">
              <w:rPr>
                <w:rFonts w:ascii="Helvetica" w:eastAsia="Times New Roman" w:hAnsi="Helvetica" w:cs="Helvetica"/>
                <w:b/>
                <w:bCs/>
                <w:color w:val="000000"/>
              </w:rPr>
              <w:t>Median (</w:t>
            </w:r>
            <w:proofErr w:type="gramStart"/>
            <w:r w:rsidRPr="00EE0C3F">
              <w:rPr>
                <w:rFonts w:ascii="Helvetica" w:eastAsia="Times New Roman" w:hAnsi="Helvetica" w:cs="Helvetica"/>
                <w:b/>
                <w:bCs/>
                <w:color w:val="000000"/>
              </w:rPr>
              <w:t>dollars)   </w:t>
            </w:r>
            <w:proofErr w:type="gramEnd"/>
            <w:r w:rsidRPr="00EE0C3F">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0951221B" w14:textId="77777777" w:rsidR="00EE0C3F" w:rsidRPr="00EE0C3F" w:rsidRDefault="00EE0C3F" w:rsidP="00EE0C3F">
            <w:pPr>
              <w:spacing w:after="0" w:line="240" w:lineRule="auto"/>
              <w:jc w:val="right"/>
              <w:rPr>
                <w:rFonts w:ascii="Helvetica" w:eastAsia="Times New Roman" w:hAnsi="Helvetica" w:cs="Helvetica"/>
                <w:color w:val="000000"/>
              </w:rPr>
            </w:pPr>
            <w:r w:rsidRPr="00EE0C3F">
              <w:rPr>
                <w:rFonts w:ascii="Helvetica" w:eastAsia="Times New Roman" w:hAnsi="Helvetica" w:cs="Helvetica"/>
                <w:color w:val="000000"/>
              </w:rPr>
              <w:t>46.0</w:t>
            </w:r>
          </w:p>
        </w:tc>
      </w:tr>
      <w:tr w:rsidR="00EE0C3F" w:rsidRPr="00EE0C3F" w14:paraId="2A181B35" w14:textId="77777777" w:rsidTr="00EE0C3F">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47F72BA" w14:textId="77777777" w:rsidR="00EE0C3F" w:rsidRPr="00EE0C3F" w:rsidRDefault="00EE0C3F" w:rsidP="00EE0C3F">
            <w:pPr>
              <w:spacing w:after="0" w:line="240" w:lineRule="auto"/>
              <w:rPr>
                <w:rFonts w:ascii="Helvetica" w:eastAsia="Times New Roman" w:hAnsi="Helvetica" w:cs="Helvetica"/>
                <w:b/>
                <w:bCs/>
                <w:color w:val="000000"/>
              </w:rPr>
            </w:pPr>
            <w:r w:rsidRPr="00EE0C3F">
              <w:rPr>
                <w:rFonts w:ascii="Helvetica" w:eastAsia="Times New Roman" w:hAnsi="Helvetica" w:cs="Helvetica"/>
                <w:b/>
                <w:bCs/>
                <w:color w:val="000000"/>
              </w:rPr>
              <w:t>Mean (</w:t>
            </w:r>
            <w:proofErr w:type="gramStart"/>
            <w:r w:rsidRPr="00EE0C3F">
              <w:rPr>
                <w:rFonts w:ascii="Helvetica" w:eastAsia="Times New Roman" w:hAnsi="Helvetica" w:cs="Helvetica"/>
                <w:b/>
                <w:bCs/>
                <w:color w:val="000000"/>
              </w:rPr>
              <w:t>dollars)   </w:t>
            </w:r>
            <w:proofErr w:type="gramEnd"/>
            <w:r w:rsidRPr="00EE0C3F">
              <w:rPr>
                <w:rFonts w:ascii="Helvetica" w:eastAsia="Times New Roman" w:hAnsi="Helvetica" w:cs="Helvetica"/>
                <w:b/>
                <w:bCs/>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2860F15C" w14:textId="77777777" w:rsidR="00EE0C3F" w:rsidRPr="00EE0C3F" w:rsidRDefault="00EE0C3F" w:rsidP="00EE0C3F">
            <w:pPr>
              <w:spacing w:after="0" w:line="240" w:lineRule="auto"/>
              <w:jc w:val="right"/>
              <w:rPr>
                <w:rFonts w:ascii="Helvetica" w:eastAsia="Times New Roman" w:hAnsi="Helvetica" w:cs="Helvetica"/>
                <w:color w:val="000000"/>
              </w:rPr>
            </w:pPr>
            <w:r w:rsidRPr="00EE0C3F">
              <w:rPr>
                <w:rFonts w:ascii="Helvetica" w:eastAsia="Times New Roman" w:hAnsi="Helvetica" w:cs="Helvetica"/>
                <w:color w:val="000000"/>
              </w:rPr>
              <w:t>126.5</w:t>
            </w:r>
          </w:p>
        </w:tc>
      </w:tr>
    </w:tbl>
    <w:p w14:paraId="457A67E6" w14:textId="77777777" w:rsidR="004760ED" w:rsidRDefault="004760ED" w:rsidP="00FA487B">
      <w:pPr>
        <w:rPr>
          <w:rFonts w:ascii="Times New Roman" w:hAnsi="Times New Roman" w:cs="Times New Roman"/>
          <w:sz w:val="24"/>
          <w:szCs w:val="24"/>
        </w:rPr>
      </w:pPr>
    </w:p>
    <w:sectPr w:rsidR="004760ED">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94FB" w14:textId="77777777" w:rsidR="00D17D60" w:rsidRDefault="00D17D60" w:rsidP="00FA487B">
      <w:pPr>
        <w:spacing w:after="0" w:line="240" w:lineRule="auto"/>
      </w:pPr>
      <w:r>
        <w:separator/>
      </w:r>
    </w:p>
  </w:endnote>
  <w:endnote w:type="continuationSeparator" w:id="0">
    <w:p w14:paraId="6FCACDA7" w14:textId="77777777" w:rsidR="00D17D60" w:rsidRDefault="00D17D60" w:rsidP="00FA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82C9" w14:textId="635A2F96" w:rsidR="00FA487B" w:rsidRPr="00E74CBD" w:rsidRDefault="00FA487B" w:rsidP="00FA487B">
    <w:pPr>
      <w:pStyle w:val="Footer"/>
      <w:jc w:val="center"/>
      <w:rPr>
        <w:b/>
        <w:bCs/>
        <w:sz w:val="18"/>
        <w:szCs w:val="18"/>
      </w:rPr>
    </w:pPr>
    <w:r w:rsidRPr="00E74CBD">
      <w:rPr>
        <w:b/>
        <w:bCs/>
        <w:sz w:val="18"/>
        <w:szCs w:val="18"/>
      </w:rPr>
      <w:t xml:space="preserve">Community Associations Institute (CAI) | </w:t>
    </w:r>
    <w:r>
      <w:rPr>
        <w:b/>
        <w:bCs/>
        <w:sz w:val="18"/>
        <w:szCs w:val="18"/>
      </w:rPr>
      <w:t>California</w:t>
    </w:r>
    <w:r w:rsidRPr="00E74CBD">
      <w:rPr>
        <w:b/>
        <w:bCs/>
        <w:sz w:val="18"/>
        <w:szCs w:val="18"/>
      </w:rPr>
      <w:t xml:space="preserve"> Condominium Data &amp; Statistics | </w:t>
    </w:r>
    <w:hyperlink r:id="rId1" w:history="1">
      <w:r w:rsidRPr="00E74CBD">
        <w:rPr>
          <w:rStyle w:val="Hyperlink"/>
          <w:b/>
          <w:bCs/>
          <w:sz w:val="18"/>
          <w:szCs w:val="18"/>
        </w:rPr>
        <w:t>www.caionline.org</w:t>
      </w:r>
    </w:hyperlink>
  </w:p>
  <w:p w14:paraId="5B012AE3" w14:textId="77777777" w:rsidR="00FA487B" w:rsidRDefault="00FA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40BE" w14:textId="77777777" w:rsidR="00D17D60" w:rsidRDefault="00D17D60" w:rsidP="00FA487B">
      <w:pPr>
        <w:spacing w:after="0" w:line="240" w:lineRule="auto"/>
      </w:pPr>
      <w:r>
        <w:separator/>
      </w:r>
    </w:p>
  </w:footnote>
  <w:footnote w:type="continuationSeparator" w:id="0">
    <w:p w14:paraId="1C443F47" w14:textId="77777777" w:rsidR="00D17D60" w:rsidRDefault="00D17D60" w:rsidP="00FA4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8B33" w14:textId="7509C84E" w:rsidR="00FA487B" w:rsidRDefault="00FA487B" w:rsidP="00FA487B">
    <w:pPr>
      <w:pStyle w:val="Header"/>
      <w:jc w:val="center"/>
    </w:pPr>
    <w:r w:rsidRPr="002E24C9">
      <w:rPr>
        <w:rFonts w:eastAsia="Times New Roman" w:cstheme="minorHAnsi"/>
        <w:b/>
        <w:noProof/>
        <w:sz w:val="24"/>
        <w:szCs w:val="24"/>
      </w:rPr>
      <w:drawing>
        <wp:inline distT="0" distB="0" distL="0" distR="0" wp14:anchorId="1356401D" wp14:editId="6EE6620A">
          <wp:extent cx="1905000" cy="830562"/>
          <wp:effectExtent l="0" t="0" r="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454" cy="834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C4691"/>
    <w:multiLevelType w:val="hybridMultilevel"/>
    <w:tmpl w:val="BE82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AE759C"/>
    <w:multiLevelType w:val="hybridMultilevel"/>
    <w:tmpl w:val="4CDE2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7B"/>
    <w:rsid w:val="000115CF"/>
    <w:rsid w:val="000305FA"/>
    <w:rsid w:val="00030D01"/>
    <w:rsid w:val="00031D8D"/>
    <w:rsid w:val="000659F0"/>
    <w:rsid w:val="0009136C"/>
    <w:rsid w:val="000A131D"/>
    <w:rsid w:val="000A17C9"/>
    <w:rsid w:val="000B0E6E"/>
    <w:rsid w:val="000C7333"/>
    <w:rsid w:val="000D0348"/>
    <w:rsid w:val="001132C3"/>
    <w:rsid w:val="001218F3"/>
    <w:rsid w:val="0013717C"/>
    <w:rsid w:val="00146EC0"/>
    <w:rsid w:val="0019525D"/>
    <w:rsid w:val="001A7AD0"/>
    <w:rsid w:val="001E7264"/>
    <w:rsid w:val="0021491C"/>
    <w:rsid w:val="00215622"/>
    <w:rsid w:val="00216B2B"/>
    <w:rsid w:val="00224D24"/>
    <w:rsid w:val="00235B6F"/>
    <w:rsid w:val="00235C5B"/>
    <w:rsid w:val="002456A5"/>
    <w:rsid w:val="00250057"/>
    <w:rsid w:val="00271749"/>
    <w:rsid w:val="00294072"/>
    <w:rsid w:val="002A0D26"/>
    <w:rsid w:val="002D1DB2"/>
    <w:rsid w:val="002F1E06"/>
    <w:rsid w:val="003045CC"/>
    <w:rsid w:val="00304724"/>
    <w:rsid w:val="00315098"/>
    <w:rsid w:val="00340F05"/>
    <w:rsid w:val="0034142B"/>
    <w:rsid w:val="00367C1D"/>
    <w:rsid w:val="00375442"/>
    <w:rsid w:val="003A076E"/>
    <w:rsid w:val="003A35B0"/>
    <w:rsid w:val="003B18DE"/>
    <w:rsid w:val="003C5325"/>
    <w:rsid w:val="003C6EED"/>
    <w:rsid w:val="003D123D"/>
    <w:rsid w:val="003E073C"/>
    <w:rsid w:val="003E3230"/>
    <w:rsid w:val="003F109A"/>
    <w:rsid w:val="003F3CFC"/>
    <w:rsid w:val="0040729F"/>
    <w:rsid w:val="004525F5"/>
    <w:rsid w:val="004760ED"/>
    <w:rsid w:val="00487583"/>
    <w:rsid w:val="004B62A3"/>
    <w:rsid w:val="004C6951"/>
    <w:rsid w:val="004E0E32"/>
    <w:rsid w:val="004E6E89"/>
    <w:rsid w:val="004F7E98"/>
    <w:rsid w:val="00503859"/>
    <w:rsid w:val="00511108"/>
    <w:rsid w:val="00533353"/>
    <w:rsid w:val="005538ED"/>
    <w:rsid w:val="00591DA5"/>
    <w:rsid w:val="00594E51"/>
    <w:rsid w:val="00596F84"/>
    <w:rsid w:val="005A4A42"/>
    <w:rsid w:val="005C7C39"/>
    <w:rsid w:val="005D6101"/>
    <w:rsid w:val="00602D54"/>
    <w:rsid w:val="00633EF5"/>
    <w:rsid w:val="006455A7"/>
    <w:rsid w:val="006832C5"/>
    <w:rsid w:val="00687272"/>
    <w:rsid w:val="00696B7B"/>
    <w:rsid w:val="006B21B7"/>
    <w:rsid w:val="006C4FFB"/>
    <w:rsid w:val="006D022A"/>
    <w:rsid w:val="0071495D"/>
    <w:rsid w:val="00736564"/>
    <w:rsid w:val="00753988"/>
    <w:rsid w:val="00770B76"/>
    <w:rsid w:val="00780E32"/>
    <w:rsid w:val="007847A3"/>
    <w:rsid w:val="00792C21"/>
    <w:rsid w:val="007B4C6D"/>
    <w:rsid w:val="008115B4"/>
    <w:rsid w:val="008146EC"/>
    <w:rsid w:val="00815AC2"/>
    <w:rsid w:val="00831EB1"/>
    <w:rsid w:val="00833198"/>
    <w:rsid w:val="00851A4C"/>
    <w:rsid w:val="008656E3"/>
    <w:rsid w:val="00890732"/>
    <w:rsid w:val="008B403F"/>
    <w:rsid w:val="008C077D"/>
    <w:rsid w:val="008C19CD"/>
    <w:rsid w:val="00903481"/>
    <w:rsid w:val="00910688"/>
    <w:rsid w:val="00911E55"/>
    <w:rsid w:val="00941376"/>
    <w:rsid w:val="00954AB8"/>
    <w:rsid w:val="0095544E"/>
    <w:rsid w:val="00972C43"/>
    <w:rsid w:val="00975A63"/>
    <w:rsid w:val="009A3783"/>
    <w:rsid w:val="009B5A6A"/>
    <w:rsid w:val="00A05575"/>
    <w:rsid w:val="00A339C9"/>
    <w:rsid w:val="00A56EEB"/>
    <w:rsid w:val="00AC108F"/>
    <w:rsid w:val="00AD6EA4"/>
    <w:rsid w:val="00AE318C"/>
    <w:rsid w:val="00AE4BFE"/>
    <w:rsid w:val="00B13674"/>
    <w:rsid w:val="00B204AA"/>
    <w:rsid w:val="00B31F37"/>
    <w:rsid w:val="00B67968"/>
    <w:rsid w:val="00B85C2F"/>
    <w:rsid w:val="00BA6701"/>
    <w:rsid w:val="00C01368"/>
    <w:rsid w:val="00C054A0"/>
    <w:rsid w:val="00C161B4"/>
    <w:rsid w:val="00C16D3F"/>
    <w:rsid w:val="00C5123C"/>
    <w:rsid w:val="00C62C28"/>
    <w:rsid w:val="00C96CD4"/>
    <w:rsid w:val="00CF0644"/>
    <w:rsid w:val="00CF5B19"/>
    <w:rsid w:val="00D16F2E"/>
    <w:rsid w:val="00D17D60"/>
    <w:rsid w:val="00D3448B"/>
    <w:rsid w:val="00D70F9E"/>
    <w:rsid w:val="00E1278B"/>
    <w:rsid w:val="00E12C2F"/>
    <w:rsid w:val="00E71630"/>
    <w:rsid w:val="00E91356"/>
    <w:rsid w:val="00EC6F64"/>
    <w:rsid w:val="00ED2ED3"/>
    <w:rsid w:val="00EE0C3F"/>
    <w:rsid w:val="00EE28AB"/>
    <w:rsid w:val="00EE5F8F"/>
    <w:rsid w:val="00EE7579"/>
    <w:rsid w:val="00F20AF0"/>
    <w:rsid w:val="00F42A37"/>
    <w:rsid w:val="00F44EAA"/>
    <w:rsid w:val="00F5449D"/>
    <w:rsid w:val="00F57724"/>
    <w:rsid w:val="00F628FA"/>
    <w:rsid w:val="00FA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0ACA"/>
  <w15:chartTrackingRefBased/>
  <w15:docId w15:val="{A5BC90F2-7367-4508-B805-05930337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87B"/>
  </w:style>
  <w:style w:type="paragraph" w:styleId="Footer">
    <w:name w:val="footer"/>
    <w:basedOn w:val="Normal"/>
    <w:link w:val="FooterChar"/>
    <w:uiPriority w:val="99"/>
    <w:unhideWhenUsed/>
    <w:rsid w:val="00FA4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87B"/>
  </w:style>
  <w:style w:type="character" w:styleId="Hyperlink">
    <w:name w:val="Hyperlink"/>
    <w:basedOn w:val="DefaultParagraphFont"/>
    <w:uiPriority w:val="99"/>
    <w:unhideWhenUsed/>
    <w:rsid w:val="00FA487B"/>
    <w:rPr>
      <w:color w:val="0000FF"/>
      <w:u w:val="single"/>
    </w:rPr>
  </w:style>
  <w:style w:type="paragraph" w:styleId="ListParagraph">
    <w:name w:val="List Paragraph"/>
    <w:basedOn w:val="Normal"/>
    <w:uiPriority w:val="34"/>
    <w:qFormat/>
    <w:rsid w:val="003F109A"/>
    <w:pPr>
      <w:ind w:left="720"/>
      <w:contextualSpacing/>
    </w:pPr>
  </w:style>
  <w:style w:type="paragraph" w:customStyle="1" w:styleId="msonormal0">
    <w:name w:val="msonormal"/>
    <w:basedOn w:val="Normal"/>
    <w:rsid w:val="00E71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
    <w:name w:val="c"/>
    <w:basedOn w:val="DefaultParagraphFont"/>
    <w:rsid w:val="00E71630"/>
  </w:style>
  <w:style w:type="character" w:styleId="FollowedHyperlink">
    <w:name w:val="FollowedHyperlink"/>
    <w:basedOn w:val="DefaultParagraphFont"/>
    <w:uiPriority w:val="99"/>
    <w:semiHidden/>
    <w:unhideWhenUsed/>
    <w:rsid w:val="00E71630"/>
    <w:rPr>
      <w:color w:val="800080"/>
      <w:u w:val="single"/>
    </w:rPr>
  </w:style>
  <w:style w:type="paragraph" w:styleId="HTMLPreformatted">
    <w:name w:val="HTML Preformatted"/>
    <w:basedOn w:val="Normal"/>
    <w:link w:val="HTMLPreformattedChar"/>
    <w:uiPriority w:val="99"/>
    <w:semiHidden/>
    <w:unhideWhenUsed/>
    <w:rsid w:val="00E7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16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4039">
      <w:bodyDiv w:val="1"/>
      <w:marLeft w:val="0"/>
      <w:marRight w:val="0"/>
      <w:marTop w:val="0"/>
      <w:marBottom w:val="0"/>
      <w:divBdr>
        <w:top w:val="none" w:sz="0" w:space="0" w:color="auto"/>
        <w:left w:val="none" w:sz="0" w:space="0" w:color="auto"/>
        <w:bottom w:val="none" w:sz="0" w:space="0" w:color="auto"/>
        <w:right w:val="none" w:sz="0" w:space="0" w:color="auto"/>
      </w:divBdr>
      <w:divsChild>
        <w:div w:id="727457457">
          <w:marLeft w:val="0"/>
          <w:marRight w:val="0"/>
          <w:marTop w:val="0"/>
          <w:marBottom w:val="0"/>
          <w:divBdr>
            <w:top w:val="none" w:sz="0" w:space="0" w:color="auto"/>
            <w:left w:val="none" w:sz="0" w:space="0" w:color="auto"/>
            <w:bottom w:val="none" w:sz="0" w:space="0" w:color="auto"/>
            <w:right w:val="none" w:sz="0" w:space="0" w:color="auto"/>
          </w:divBdr>
        </w:div>
      </w:divsChild>
    </w:div>
    <w:div w:id="167988615">
      <w:bodyDiv w:val="1"/>
      <w:marLeft w:val="0"/>
      <w:marRight w:val="0"/>
      <w:marTop w:val="0"/>
      <w:marBottom w:val="0"/>
      <w:divBdr>
        <w:top w:val="none" w:sz="0" w:space="0" w:color="auto"/>
        <w:left w:val="none" w:sz="0" w:space="0" w:color="auto"/>
        <w:bottom w:val="none" w:sz="0" w:space="0" w:color="auto"/>
        <w:right w:val="none" w:sz="0" w:space="0" w:color="auto"/>
      </w:divBdr>
    </w:div>
    <w:div w:id="173228908">
      <w:bodyDiv w:val="1"/>
      <w:marLeft w:val="0"/>
      <w:marRight w:val="0"/>
      <w:marTop w:val="0"/>
      <w:marBottom w:val="0"/>
      <w:divBdr>
        <w:top w:val="none" w:sz="0" w:space="0" w:color="auto"/>
        <w:left w:val="none" w:sz="0" w:space="0" w:color="auto"/>
        <w:bottom w:val="none" w:sz="0" w:space="0" w:color="auto"/>
        <w:right w:val="none" w:sz="0" w:space="0" w:color="auto"/>
      </w:divBdr>
    </w:div>
    <w:div w:id="218514907">
      <w:bodyDiv w:val="1"/>
      <w:marLeft w:val="0"/>
      <w:marRight w:val="0"/>
      <w:marTop w:val="0"/>
      <w:marBottom w:val="0"/>
      <w:divBdr>
        <w:top w:val="none" w:sz="0" w:space="0" w:color="auto"/>
        <w:left w:val="none" w:sz="0" w:space="0" w:color="auto"/>
        <w:bottom w:val="none" w:sz="0" w:space="0" w:color="auto"/>
        <w:right w:val="none" w:sz="0" w:space="0" w:color="auto"/>
      </w:divBdr>
    </w:div>
    <w:div w:id="392510945">
      <w:bodyDiv w:val="1"/>
      <w:marLeft w:val="0"/>
      <w:marRight w:val="0"/>
      <w:marTop w:val="0"/>
      <w:marBottom w:val="0"/>
      <w:divBdr>
        <w:top w:val="none" w:sz="0" w:space="0" w:color="auto"/>
        <w:left w:val="none" w:sz="0" w:space="0" w:color="auto"/>
        <w:bottom w:val="none" w:sz="0" w:space="0" w:color="auto"/>
        <w:right w:val="none" w:sz="0" w:space="0" w:color="auto"/>
      </w:divBdr>
    </w:div>
    <w:div w:id="421293292">
      <w:bodyDiv w:val="1"/>
      <w:marLeft w:val="0"/>
      <w:marRight w:val="0"/>
      <w:marTop w:val="0"/>
      <w:marBottom w:val="0"/>
      <w:divBdr>
        <w:top w:val="none" w:sz="0" w:space="0" w:color="auto"/>
        <w:left w:val="none" w:sz="0" w:space="0" w:color="auto"/>
        <w:bottom w:val="none" w:sz="0" w:space="0" w:color="auto"/>
        <w:right w:val="none" w:sz="0" w:space="0" w:color="auto"/>
      </w:divBdr>
    </w:div>
    <w:div w:id="434793596">
      <w:bodyDiv w:val="1"/>
      <w:marLeft w:val="0"/>
      <w:marRight w:val="0"/>
      <w:marTop w:val="0"/>
      <w:marBottom w:val="0"/>
      <w:divBdr>
        <w:top w:val="none" w:sz="0" w:space="0" w:color="auto"/>
        <w:left w:val="none" w:sz="0" w:space="0" w:color="auto"/>
        <w:bottom w:val="none" w:sz="0" w:space="0" w:color="auto"/>
        <w:right w:val="none" w:sz="0" w:space="0" w:color="auto"/>
      </w:divBdr>
      <w:divsChild>
        <w:div w:id="1408265705">
          <w:marLeft w:val="0"/>
          <w:marRight w:val="0"/>
          <w:marTop w:val="0"/>
          <w:marBottom w:val="0"/>
          <w:divBdr>
            <w:top w:val="none" w:sz="0" w:space="0" w:color="auto"/>
            <w:left w:val="none" w:sz="0" w:space="0" w:color="auto"/>
            <w:bottom w:val="none" w:sz="0" w:space="0" w:color="auto"/>
            <w:right w:val="none" w:sz="0" w:space="0" w:color="auto"/>
          </w:divBdr>
        </w:div>
      </w:divsChild>
    </w:div>
    <w:div w:id="487333646">
      <w:bodyDiv w:val="1"/>
      <w:marLeft w:val="0"/>
      <w:marRight w:val="0"/>
      <w:marTop w:val="0"/>
      <w:marBottom w:val="0"/>
      <w:divBdr>
        <w:top w:val="none" w:sz="0" w:space="0" w:color="auto"/>
        <w:left w:val="none" w:sz="0" w:space="0" w:color="auto"/>
        <w:bottom w:val="none" w:sz="0" w:space="0" w:color="auto"/>
        <w:right w:val="none" w:sz="0" w:space="0" w:color="auto"/>
      </w:divBdr>
    </w:div>
    <w:div w:id="583952432">
      <w:bodyDiv w:val="1"/>
      <w:marLeft w:val="0"/>
      <w:marRight w:val="0"/>
      <w:marTop w:val="0"/>
      <w:marBottom w:val="0"/>
      <w:divBdr>
        <w:top w:val="none" w:sz="0" w:space="0" w:color="auto"/>
        <w:left w:val="none" w:sz="0" w:space="0" w:color="auto"/>
        <w:bottom w:val="none" w:sz="0" w:space="0" w:color="auto"/>
        <w:right w:val="none" w:sz="0" w:space="0" w:color="auto"/>
      </w:divBdr>
    </w:div>
    <w:div w:id="584846883">
      <w:bodyDiv w:val="1"/>
      <w:marLeft w:val="0"/>
      <w:marRight w:val="0"/>
      <w:marTop w:val="0"/>
      <w:marBottom w:val="0"/>
      <w:divBdr>
        <w:top w:val="none" w:sz="0" w:space="0" w:color="auto"/>
        <w:left w:val="none" w:sz="0" w:space="0" w:color="auto"/>
        <w:bottom w:val="none" w:sz="0" w:space="0" w:color="auto"/>
        <w:right w:val="none" w:sz="0" w:space="0" w:color="auto"/>
      </w:divBdr>
    </w:div>
    <w:div w:id="710611767">
      <w:bodyDiv w:val="1"/>
      <w:marLeft w:val="0"/>
      <w:marRight w:val="0"/>
      <w:marTop w:val="0"/>
      <w:marBottom w:val="0"/>
      <w:divBdr>
        <w:top w:val="none" w:sz="0" w:space="0" w:color="auto"/>
        <w:left w:val="none" w:sz="0" w:space="0" w:color="auto"/>
        <w:bottom w:val="none" w:sz="0" w:space="0" w:color="auto"/>
        <w:right w:val="none" w:sz="0" w:space="0" w:color="auto"/>
      </w:divBdr>
    </w:div>
    <w:div w:id="873469191">
      <w:bodyDiv w:val="1"/>
      <w:marLeft w:val="0"/>
      <w:marRight w:val="0"/>
      <w:marTop w:val="0"/>
      <w:marBottom w:val="0"/>
      <w:divBdr>
        <w:top w:val="none" w:sz="0" w:space="0" w:color="auto"/>
        <w:left w:val="none" w:sz="0" w:space="0" w:color="auto"/>
        <w:bottom w:val="none" w:sz="0" w:space="0" w:color="auto"/>
        <w:right w:val="none" w:sz="0" w:space="0" w:color="auto"/>
      </w:divBdr>
    </w:div>
    <w:div w:id="1043481491">
      <w:bodyDiv w:val="1"/>
      <w:marLeft w:val="0"/>
      <w:marRight w:val="0"/>
      <w:marTop w:val="0"/>
      <w:marBottom w:val="0"/>
      <w:divBdr>
        <w:top w:val="none" w:sz="0" w:space="0" w:color="auto"/>
        <w:left w:val="none" w:sz="0" w:space="0" w:color="auto"/>
        <w:bottom w:val="none" w:sz="0" w:space="0" w:color="auto"/>
        <w:right w:val="none" w:sz="0" w:space="0" w:color="auto"/>
      </w:divBdr>
    </w:div>
    <w:div w:id="1057314611">
      <w:bodyDiv w:val="1"/>
      <w:marLeft w:val="0"/>
      <w:marRight w:val="0"/>
      <w:marTop w:val="0"/>
      <w:marBottom w:val="0"/>
      <w:divBdr>
        <w:top w:val="none" w:sz="0" w:space="0" w:color="auto"/>
        <w:left w:val="none" w:sz="0" w:space="0" w:color="auto"/>
        <w:bottom w:val="none" w:sz="0" w:space="0" w:color="auto"/>
        <w:right w:val="none" w:sz="0" w:space="0" w:color="auto"/>
      </w:divBdr>
    </w:div>
    <w:div w:id="1099180563">
      <w:bodyDiv w:val="1"/>
      <w:marLeft w:val="0"/>
      <w:marRight w:val="0"/>
      <w:marTop w:val="0"/>
      <w:marBottom w:val="0"/>
      <w:divBdr>
        <w:top w:val="none" w:sz="0" w:space="0" w:color="auto"/>
        <w:left w:val="none" w:sz="0" w:space="0" w:color="auto"/>
        <w:bottom w:val="none" w:sz="0" w:space="0" w:color="auto"/>
        <w:right w:val="none" w:sz="0" w:space="0" w:color="auto"/>
      </w:divBdr>
    </w:div>
    <w:div w:id="1101335736">
      <w:bodyDiv w:val="1"/>
      <w:marLeft w:val="0"/>
      <w:marRight w:val="0"/>
      <w:marTop w:val="0"/>
      <w:marBottom w:val="0"/>
      <w:divBdr>
        <w:top w:val="none" w:sz="0" w:space="0" w:color="auto"/>
        <w:left w:val="none" w:sz="0" w:space="0" w:color="auto"/>
        <w:bottom w:val="none" w:sz="0" w:space="0" w:color="auto"/>
        <w:right w:val="none" w:sz="0" w:space="0" w:color="auto"/>
      </w:divBdr>
    </w:div>
    <w:div w:id="1187594745">
      <w:bodyDiv w:val="1"/>
      <w:marLeft w:val="0"/>
      <w:marRight w:val="0"/>
      <w:marTop w:val="0"/>
      <w:marBottom w:val="0"/>
      <w:divBdr>
        <w:top w:val="none" w:sz="0" w:space="0" w:color="auto"/>
        <w:left w:val="none" w:sz="0" w:space="0" w:color="auto"/>
        <w:bottom w:val="none" w:sz="0" w:space="0" w:color="auto"/>
        <w:right w:val="none" w:sz="0" w:space="0" w:color="auto"/>
      </w:divBdr>
    </w:div>
    <w:div w:id="1322655613">
      <w:bodyDiv w:val="1"/>
      <w:marLeft w:val="0"/>
      <w:marRight w:val="0"/>
      <w:marTop w:val="0"/>
      <w:marBottom w:val="0"/>
      <w:divBdr>
        <w:top w:val="none" w:sz="0" w:space="0" w:color="auto"/>
        <w:left w:val="none" w:sz="0" w:space="0" w:color="auto"/>
        <w:bottom w:val="none" w:sz="0" w:space="0" w:color="auto"/>
        <w:right w:val="none" w:sz="0" w:space="0" w:color="auto"/>
      </w:divBdr>
    </w:div>
    <w:div w:id="1404139994">
      <w:bodyDiv w:val="1"/>
      <w:marLeft w:val="0"/>
      <w:marRight w:val="0"/>
      <w:marTop w:val="0"/>
      <w:marBottom w:val="0"/>
      <w:divBdr>
        <w:top w:val="none" w:sz="0" w:space="0" w:color="auto"/>
        <w:left w:val="none" w:sz="0" w:space="0" w:color="auto"/>
        <w:bottom w:val="none" w:sz="0" w:space="0" w:color="auto"/>
        <w:right w:val="none" w:sz="0" w:space="0" w:color="auto"/>
      </w:divBdr>
    </w:div>
    <w:div w:id="1415206565">
      <w:bodyDiv w:val="1"/>
      <w:marLeft w:val="0"/>
      <w:marRight w:val="0"/>
      <w:marTop w:val="0"/>
      <w:marBottom w:val="0"/>
      <w:divBdr>
        <w:top w:val="none" w:sz="0" w:space="0" w:color="auto"/>
        <w:left w:val="none" w:sz="0" w:space="0" w:color="auto"/>
        <w:bottom w:val="none" w:sz="0" w:space="0" w:color="auto"/>
        <w:right w:val="none" w:sz="0" w:space="0" w:color="auto"/>
      </w:divBdr>
    </w:div>
    <w:div w:id="1456021609">
      <w:bodyDiv w:val="1"/>
      <w:marLeft w:val="0"/>
      <w:marRight w:val="0"/>
      <w:marTop w:val="0"/>
      <w:marBottom w:val="0"/>
      <w:divBdr>
        <w:top w:val="none" w:sz="0" w:space="0" w:color="auto"/>
        <w:left w:val="none" w:sz="0" w:space="0" w:color="auto"/>
        <w:bottom w:val="none" w:sz="0" w:space="0" w:color="auto"/>
        <w:right w:val="none" w:sz="0" w:space="0" w:color="auto"/>
      </w:divBdr>
    </w:div>
    <w:div w:id="1477603897">
      <w:bodyDiv w:val="1"/>
      <w:marLeft w:val="0"/>
      <w:marRight w:val="0"/>
      <w:marTop w:val="0"/>
      <w:marBottom w:val="0"/>
      <w:divBdr>
        <w:top w:val="none" w:sz="0" w:space="0" w:color="auto"/>
        <w:left w:val="none" w:sz="0" w:space="0" w:color="auto"/>
        <w:bottom w:val="none" w:sz="0" w:space="0" w:color="auto"/>
        <w:right w:val="none" w:sz="0" w:space="0" w:color="auto"/>
      </w:divBdr>
    </w:div>
    <w:div w:id="1487165147">
      <w:bodyDiv w:val="1"/>
      <w:marLeft w:val="0"/>
      <w:marRight w:val="0"/>
      <w:marTop w:val="0"/>
      <w:marBottom w:val="0"/>
      <w:divBdr>
        <w:top w:val="none" w:sz="0" w:space="0" w:color="auto"/>
        <w:left w:val="none" w:sz="0" w:space="0" w:color="auto"/>
        <w:bottom w:val="none" w:sz="0" w:space="0" w:color="auto"/>
        <w:right w:val="none" w:sz="0" w:space="0" w:color="auto"/>
      </w:divBdr>
    </w:div>
    <w:div w:id="1685283821">
      <w:bodyDiv w:val="1"/>
      <w:marLeft w:val="0"/>
      <w:marRight w:val="0"/>
      <w:marTop w:val="0"/>
      <w:marBottom w:val="0"/>
      <w:divBdr>
        <w:top w:val="none" w:sz="0" w:space="0" w:color="auto"/>
        <w:left w:val="none" w:sz="0" w:space="0" w:color="auto"/>
        <w:bottom w:val="none" w:sz="0" w:space="0" w:color="auto"/>
        <w:right w:val="none" w:sz="0" w:space="0" w:color="auto"/>
      </w:divBdr>
    </w:div>
    <w:div w:id="1875538103">
      <w:bodyDiv w:val="1"/>
      <w:marLeft w:val="0"/>
      <w:marRight w:val="0"/>
      <w:marTop w:val="0"/>
      <w:marBottom w:val="0"/>
      <w:divBdr>
        <w:top w:val="none" w:sz="0" w:space="0" w:color="auto"/>
        <w:left w:val="none" w:sz="0" w:space="0" w:color="auto"/>
        <w:bottom w:val="none" w:sz="0" w:space="0" w:color="auto"/>
        <w:right w:val="none" w:sz="0" w:space="0" w:color="auto"/>
      </w:divBdr>
    </w:div>
    <w:div w:id="1897006190">
      <w:bodyDiv w:val="1"/>
      <w:marLeft w:val="0"/>
      <w:marRight w:val="0"/>
      <w:marTop w:val="0"/>
      <w:marBottom w:val="0"/>
      <w:divBdr>
        <w:top w:val="none" w:sz="0" w:space="0" w:color="auto"/>
        <w:left w:val="none" w:sz="0" w:space="0" w:color="auto"/>
        <w:bottom w:val="none" w:sz="0" w:space="0" w:color="auto"/>
        <w:right w:val="none" w:sz="0" w:space="0" w:color="auto"/>
      </w:divBdr>
    </w:div>
    <w:div w:id="1917015923">
      <w:bodyDiv w:val="1"/>
      <w:marLeft w:val="0"/>
      <w:marRight w:val="0"/>
      <w:marTop w:val="0"/>
      <w:marBottom w:val="0"/>
      <w:divBdr>
        <w:top w:val="none" w:sz="0" w:space="0" w:color="auto"/>
        <w:left w:val="none" w:sz="0" w:space="0" w:color="auto"/>
        <w:bottom w:val="none" w:sz="0" w:space="0" w:color="auto"/>
        <w:right w:val="none" w:sz="0" w:space="0" w:color="auto"/>
      </w:divBdr>
    </w:div>
    <w:div w:id="202987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nsus.gov/programs-surveys/ahs/tech-documentation/def-errors-changes.2019.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nsus.gov/programs-surveys/ahs/tech-documentation/def-errors-changes.2013.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sus.gov/programs-surveys/ahs/tech-documentation/def-errors-changes.2019.html" TargetMode="External"/><Relationship Id="rId5" Type="http://schemas.openxmlformats.org/officeDocument/2006/relationships/styles" Target="styles.xml"/><Relationship Id="rId15" Type="http://schemas.openxmlformats.org/officeDocument/2006/relationships/hyperlink" Target="http://www.census.gov/programs-surveys/ahs/tech-documentation/def-errors-changes.2019.html" TargetMode="External"/><Relationship Id="rId10" Type="http://schemas.openxmlformats.org/officeDocument/2006/relationships/hyperlink" Target="https://foundation.caionline.org/publications/factboo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ensus.gov/programs-surveys/ahs/tech-documentation/def-errors-changes.2011.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i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F7152A5BBAE408B1AD0357A4BB44D" ma:contentTypeVersion="2" ma:contentTypeDescription="Create a new document." ma:contentTypeScope="" ma:versionID="38c1b67c1f6b312ecf2bcfb010887d3d">
  <xsd:schema xmlns:xsd="http://www.w3.org/2001/XMLSchema" xmlns:xs="http://www.w3.org/2001/XMLSchema" xmlns:p="http://schemas.microsoft.com/office/2006/metadata/properties" xmlns:ns1="http://schemas.microsoft.com/sharepoint/v3" xmlns:ns2="b70ac034-5ff6-4be4-b0a4-8fbdb55097d0" targetNamespace="http://schemas.microsoft.com/office/2006/metadata/properties" ma:root="true" ma:fieldsID="80d4e66b057155e570cbf5c5ff28afb7" ns1:_="" ns2:_="">
    <xsd:import namespace="http://schemas.microsoft.com/sharepoint/v3"/>
    <xsd:import namespace="b70ac034-5ff6-4be4-b0a4-8fbdb55097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B3CE5F-48E0-402E-97CD-7E27CFBA4EEA}"/>
</file>

<file path=customXml/itemProps2.xml><?xml version="1.0" encoding="utf-8"?>
<ds:datastoreItem xmlns:ds="http://schemas.openxmlformats.org/officeDocument/2006/customXml" ds:itemID="{EF4FFE17-36A0-4390-AB87-ABDF227D8A56}">
  <ds:schemaRefs>
    <ds:schemaRef ds:uri="http://schemas.microsoft.com/sharepoint/v3/contenttype/forms"/>
  </ds:schemaRefs>
</ds:datastoreItem>
</file>

<file path=customXml/itemProps3.xml><?xml version="1.0" encoding="utf-8"?>
<ds:datastoreItem xmlns:ds="http://schemas.openxmlformats.org/officeDocument/2006/customXml" ds:itemID="{A1EB6FEE-4E46-4AD2-A307-A4CDEE1076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1572</Words>
  <Characters>8961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Price</dc:creator>
  <cp:keywords/>
  <dc:description/>
  <cp:lastModifiedBy>Benjamin Price</cp:lastModifiedBy>
  <cp:revision>12</cp:revision>
  <dcterms:created xsi:type="dcterms:W3CDTF">2022-01-31T20:22:00Z</dcterms:created>
  <dcterms:modified xsi:type="dcterms:W3CDTF">2022-02-01T19:45:00Z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0x010100B9BF7152A5BBAE408B1AD0357A4BB44D</vt:lpwstr>
  </property>
</Properties>
</file>