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060437D5" w:rsidR="00972C43" w:rsidRDefault="006D022A" w:rsidP="00FA487B">
      <w:pPr>
        <w:jc w:val="center"/>
        <w:rPr>
          <w:rFonts w:ascii="Times New Roman" w:hAnsi="Times New Roman" w:cs="Times New Roman"/>
          <w:sz w:val="32"/>
          <w:szCs w:val="32"/>
        </w:rPr>
      </w:pPr>
      <w:r>
        <w:rPr>
          <w:rFonts w:ascii="Times New Roman" w:hAnsi="Times New Roman" w:cs="Times New Roman"/>
          <w:b/>
          <w:bCs/>
          <w:sz w:val="32"/>
          <w:szCs w:val="32"/>
        </w:rPr>
        <w:t>Massachusetts</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686CAE15" w:rsidR="00FA487B" w:rsidRDefault="006D022A" w:rsidP="00FA487B">
      <w:pPr>
        <w:rPr>
          <w:rFonts w:ascii="Times New Roman" w:hAnsi="Times New Roman" w:cs="Times New Roman"/>
          <w:sz w:val="24"/>
          <w:szCs w:val="24"/>
        </w:rPr>
      </w:pPr>
      <w:r>
        <w:rPr>
          <w:rFonts w:ascii="Times New Roman" w:hAnsi="Times New Roman" w:cs="Times New Roman"/>
          <w:sz w:val="24"/>
          <w:szCs w:val="24"/>
        </w:rPr>
        <w:t>T</w:t>
      </w:r>
      <w:r w:rsidR="00F5449D">
        <w:rPr>
          <w:rFonts w:ascii="Times New Roman" w:hAnsi="Times New Roman" w:cs="Times New Roman"/>
          <w:sz w:val="24"/>
          <w:szCs w:val="24"/>
        </w:rPr>
        <w:t>here</w:t>
      </w:r>
      <w:r w:rsidR="00FA487B">
        <w:rPr>
          <w:rFonts w:ascii="Times New Roman" w:hAnsi="Times New Roman" w:cs="Times New Roman"/>
          <w:sz w:val="24"/>
          <w:szCs w:val="24"/>
        </w:rPr>
        <w:t xml:space="preserve"> are an estimated </w:t>
      </w:r>
      <w:r>
        <w:rPr>
          <w:rFonts w:ascii="Times New Roman" w:hAnsi="Times New Roman" w:cs="Times New Roman"/>
          <w:sz w:val="24"/>
          <w:szCs w:val="24"/>
        </w:rPr>
        <w:t>286,900</w:t>
      </w:r>
      <w:r w:rsidR="00FA487B">
        <w:rPr>
          <w:rFonts w:ascii="Times New Roman" w:hAnsi="Times New Roman" w:cs="Times New Roman"/>
          <w:sz w:val="24"/>
          <w:szCs w:val="24"/>
        </w:rPr>
        <w:t xml:space="preserve"> condo units in </w:t>
      </w:r>
      <w:r w:rsidR="00A56EEB">
        <w:rPr>
          <w:rFonts w:ascii="Times New Roman" w:hAnsi="Times New Roman" w:cs="Times New Roman"/>
          <w:sz w:val="24"/>
          <w:szCs w:val="24"/>
        </w:rPr>
        <w:t>Massachusetts</w:t>
      </w:r>
      <w:r w:rsidR="00FA487B">
        <w:rPr>
          <w:rFonts w:ascii="Times New Roman" w:hAnsi="Times New Roman" w:cs="Times New Roman"/>
          <w:sz w:val="24"/>
          <w:szCs w:val="24"/>
        </w:rPr>
        <w:t xml:space="preserve">, out of an estimated housing stock of </w:t>
      </w:r>
      <w:r w:rsidR="00F5449D">
        <w:rPr>
          <w:rFonts w:ascii="Times New Roman" w:hAnsi="Times New Roman" w:cs="Times New Roman"/>
          <w:sz w:val="24"/>
          <w:szCs w:val="24"/>
        </w:rPr>
        <w:t>2,</w:t>
      </w:r>
      <w:r>
        <w:rPr>
          <w:rFonts w:ascii="Times New Roman" w:hAnsi="Times New Roman" w:cs="Times New Roman"/>
          <w:sz w:val="24"/>
          <w:szCs w:val="24"/>
        </w:rPr>
        <w:t>709,400</w:t>
      </w:r>
      <w:r w:rsidR="00FA487B">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Community Survey divides </w:t>
      </w:r>
      <w:r>
        <w:rPr>
          <w:rFonts w:ascii="Times New Roman" w:hAnsi="Times New Roman" w:cs="Times New Roman"/>
          <w:sz w:val="24"/>
          <w:szCs w:val="24"/>
        </w:rPr>
        <w:t>Massachusetts</w:t>
      </w:r>
      <w:r w:rsidR="0034142B">
        <w:rPr>
          <w:rFonts w:ascii="Times New Roman" w:hAnsi="Times New Roman" w:cs="Times New Roman"/>
          <w:sz w:val="24"/>
          <w:szCs w:val="24"/>
        </w:rPr>
        <w:t>’s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 xml:space="preserve">proximity to a Central </w:t>
      </w:r>
      <w:r w:rsidR="00F5449D">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Pr>
          <w:rFonts w:ascii="Times New Roman" w:hAnsi="Times New Roman" w:cs="Times New Roman"/>
          <w:sz w:val="24"/>
          <w:szCs w:val="24"/>
        </w:rPr>
        <w:t>T</w:t>
      </w:r>
      <w:r w:rsidR="00780E32">
        <w:rPr>
          <w:rFonts w:ascii="Times New Roman" w:hAnsi="Times New Roman" w:cs="Times New Roman"/>
          <w:sz w:val="24"/>
          <w:szCs w:val="24"/>
        </w:rPr>
        <w:t xml:space="preserve">he </w:t>
      </w:r>
      <w:r>
        <w:rPr>
          <w:rFonts w:ascii="Times New Roman" w:hAnsi="Times New Roman" w:cs="Times New Roman"/>
          <w:sz w:val="24"/>
          <w:szCs w:val="24"/>
        </w:rPr>
        <w:t>Boston-Cambridge-Newton</w:t>
      </w:r>
      <w:r w:rsidR="00780E32">
        <w:rPr>
          <w:rFonts w:ascii="Times New Roman" w:hAnsi="Times New Roman" w:cs="Times New Roman"/>
          <w:sz w:val="24"/>
          <w:szCs w:val="24"/>
        </w:rPr>
        <w:t xml:space="preserve"> Metropolitan Area is </w:t>
      </w:r>
      <w:r w:rsidR="002075E7">
        <w:rPr>
          <w:rFonts w:ascii="Times New Roman" w:hAnsi="Times New Roman" w:cs="Times New Roman"/>
          <w:sz w:val="24"/>
          <w:szCs w:val="24"/>
        </w:rPr>
        <w:t xml:space="preserve">tracked </w:t>
      </w:r>
      <w:r w:rsidR="00061C8F">
        <w:rPr>
          <w:rFonts w:ascii="Times New Roman" w:hAnsi="Times New Roman" w:cs="Times New Roman"/>
          <w:sz w:val="24"/>
          <w:szCs w:val="24"/>
        </w:rPr>
        <w:t>separately from</w:t>
      </w:r>
      <w:r w:rsidR="002075E7">
        <w:rPr>
          <w:rFonts w:ascii="Times New Roman" w:hAnsi="Times New Roman" w:cs="Times New Roman"/>
          <w:sz w:val="24"/>
          <w:szCs w:val="24"/>
        </w:rPr>
        <w:t xml:space="preserve"> the rest of the Commonwealth</w:t>
      </w:r>
      <w:r w:rsidR="00780E32">
        <w:rPr>
          <w:rFonts w:ascii="Times New Roman" w:hAnsi="Times New Roman" w:cs="Times New Roman"/>
          <w:sz w:val="24"/>
          <w:szCs w:val="24"/>
        </w:rPr>
        <w:t>.</w:t>
      </w:r>
    </w:p>
    <w:p w14:paraId="48AC5EB6" w14:textId="77777777" w:rsidR="00061C8F" w:rsidRDefault="00061C8F" w:rsidP="00061C8F">
      <w:pPr>
        <w:rPr>
          <w:rFonts w:ascii="Times New Roman" w:hAnsi="Times New Roman" w:cs="Times New Roman"/>
          <w:sz w:val="24"/>
          <w:szCs w:val="24"/>
        </w:rPr>
      </w:pPr>
    </w:p>
    <w:p w14:paraId="57B579D5" w14:textId="362BC835" w:rsidR="00061C8F" w:rsidRDefault="00061C8F" w:rsidP="00061C8F">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1AE91E79" w:rsidR="00FA487B" w:rsidRDefault="00FA487B" w:rsidP="00FA487B">
      <w:pPr>
        <w:rPr>
          <w:rFonts w:ascii="Times New Roman" w:hAnsi="Times New Roman" w:cs="Times New Roman"/>
          <w:sz w:val="24"/>
          <w:szCs w:val="24"/>
        </w:rPr>
      </w:pPr>
    </w:p>
    <w:p w14:paraId="2A307DFD" w14:textId="77777777" w:rsidR="00E73DB4" w:rsidRPr="003F109A" w:rsidRDefault="00E73DB4" w:rsidP="00E73DB4">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215E0989" w14:textId="77777777" w:rsidR="00E73DB4" w:rsidRDefault="00E73DB4" w:rsidP="00E73D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estimated 155,000 condo units, or 63.16% of condo units, in the Boston-Cambridge-Newton Metropolitan Area were built before 1990.</w:t>
      </w:r>
    </w:p>
    <w:p w14:paraId="7C42BBE1" w14:textId="272EA239" w:rsidR="00E73DB4" w:rsidRDefault="00E73DB4" w:rsidP="00FA487B">
      <w:pPr>
        <w:rPr>
          <w:rFonts w:ascii="Times New Roman" w:hAnsi="Times New Roman" w:cs="Times New Roman"/>
          <w:sz w:val="24"/>
          <w:szCs w:val="24"/>
        </w:rPr>
      </w:pPr>
    </w:p>
    <w:p w14:paraId="4312255F" w14:textId="77777777" w:rsidR="00E73DB4" w:rsidRDefault="00E73DB4"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6409"/>
        <w:gridCol w:w="1703"/>
      </w:tblGrid>
      <w:tr w:rsidR="00FA487B" w:rsidRPr="002E24C9" w14:paraId="4E0255FA" w14:textId="77777777" w:rsidTr="003B18DE">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68A71944"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8656E3">
              <w:rPr>
                <w:rFonts w:eastAsia="Times New Roman" w:cstheme="minorHAnsi"/>
                <w:b/>
                <w:bCs/>
                <w:color w:val="000000"/>
                <w:sz w:val="24"/>
                <w:szCs w:val="24"/>
              </w:rPr>
              <w:t xml:space="preserve"> </w:t>
            </w:r>
            <w:r w:rsidR="00061C8F">
              <w:rPr>
                <w:rFonts w:eastAsia="Times New Roman" w:cstheme="minorHAnsi"/>
                <w:b/>
                <w:bCs/>
                <w:color w:val="000000"/>
                <w:sz w:val="24"/>
                <w:szCs w:val="24"/>
              </w:rPr>
              <w:t>(Excluding Boston)</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0E0275AA" w:rsidR="00FA487B" w:rsidRPr="002E24C9" w:rsidRDefault="006D022A" w:rsidP="00B7614B">
            <w:pPr>
              <w:jc w:val="right"/>
              <w:rPr>
                <w:rFonts w:eastAsia="Times New Roman" w:cstheme="minorHAnsi"/>
                <w:b/>
                <w:bCs/>
                <w:color w:val="000000"/>
                <w:sz w:val="24"/>
                <w:szCs w:val="24"/>
              </w:rPr>
            </w:pPr>
            <w:r>
              <w:rPr>
                <w:rFonts w:eastAsia="Times New Roman" w:cstheme="minorHAnsi"/>
                <w:b/>
                <w:bCs/>
                <w:color w:val="000000"/>
                <w:sz w:val="24"/>
                <w:szCs w:val="24"/>
              </w:rPr>
              <w:t>286,900</w:t>
            </w:r>
          </w:p>
        </w:tc>
      </w:tr>
      <w:tr w:rsidR="00B204AA" w:rsidRPr="002E24C9" w14:paraId="067EA85C"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63235B0A" w:rsidR="00B204AA" w:rsidRDefault="006D022A" w:rsidP="00B7614B">
            <w:pPr>
              <w:jc w:val="right"/>
              <w:rPr>
                <w:rFonts w:eastAsia="Times New Roman" w:cstheme="minorHAnsi"/>
                <w:color w:val="000000"/>
                <w:sz w:val="24"/>
                <w:szCs w:val="24"/>
              </w:rPr>
            </w:pPr>
            <w:r>
              <w:rPr>
                <w:rFonts w:eastAsia="Times New Roman" w:cstheme="minorHAnsi"/>
                <w:color w:val="000000"/>
                <w:sz w:val="24"/>
                <w:szCs w:val="24"/>
              </w:rPr>
              <w:t>188,600</w:t>
            </w:r>
          </w:p>
        </w:tc>
      </w:tr>
      <w:tr w:rsidR="00ED2ED3" w:rsidRPr="003F3CFC" w14:paraId="25F0D9AA"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1254E367"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4CCA6EA3" w:rsidR="00ED2ED3" w:rsidRPr="003F3CFC" w:rsidRDefault="006D022A" w:rsidP="00B7614B">
            <w:pPr>
              <w:jc w:val="right"/>
              <w:rPr>
                <w:rFonts w:eastAsia="Times New Roman" w:cstheme="minorHAnsi"/>
                <w:b/>
                <w:bCs/>
                <w:color w:val="000000"/>
                <w:sz w:val="24"/>
                <w:szCs w:val="24"/>
              </w:rPr>
            </w:pPr>
            <w:r>
              <w:rPr>
                <w:rFonts w:eastAsia="Times New Roman" w:cstheme="minorHAnsi"/>
                <w:b/>
                <w:bCs/>
                <w:color w:val="000000"/>
                <w:sz w:val="24"/>
                <w:szCs w:val="24"/>
              </w:rPr>
              <w:t>87,600</w:t>
            </w:r>
          </w:p>
        </w:tc>
      </w:tr>
      <w:tr w:rsidR="003B18DE" w:rsidRPr="00250057" w14:paraId="1834DDC7"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0C05799D" w:rsidR="003B18DE" w:rsidRPr="00250057" w:rsidRDefault="006D022A" w:rsidP="00B7614B">
            <w:pPr>
              <w:jc w:val="right"/>
              <w:rPr>
                <w:rFonts w:eastAsia="Times New Roman" w:cstheme="minorHAnsi"/>
                <w:color w:val="000000"/>
                <w:sz w:val="24"/>
                <w:szCs w:val="24"/>
              </w:rPr>
            </w:pPr>
            <w:r>
              <w:rPr>
                <w:rFonts w:eastAsia="Times New Roman" w:cstheme="minorHAnsi"/>
                <w:color w:val="000000"/>
                <w:sz w:val="24"/>
                <w:szCs w:val="24"/>
              </w:rPr>
              <w:t>52,200</w:t>
            </w:r>
          </w:p>
        </w:tc>
      </w:tr>
      <w:tr w:rsidR="00633EF5" w:rsidRPr="00633EF5" w14:paraId="742A246C" w14:textId="77777777" w:rsidTr="00633EF5">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5DA48F8D"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1B64C2DE"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w:t>
            </w:r>
            <w:r w:rsidR="006D022A">
              <w:rPr>
                <w:rFonts w:eastAsia="Times New Roman" w:cstheme="minorHAnsi"/>
                <w:b/>
                <w:bCs/>
                <w:color w:val="000000"/>
                <w:sz w:val="24"/>
                <w:szCs w:val="24"/>
              </w:rPr>
              <w:t>199,300</w:t>
            </w:r>
          </w:p>
        </w:tc>
      </w:tr>
      <w:tr w:rsidR="00633EF5" w:rsidRPr="00250057" w14:paraId="3A2C252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01C6E476" w:rsidR="00633EF5" w:rsidRDefault="006D022A" w:rsidP="00B7614B">
            <w:pPr>
              <w:jc w:val="right"/>
              <w:rPr>
                <w:rFonts w:eastAsia="Times New Roman" w:cstheme="minorHAnsi"/>
                <w:color w:val="000000"/>
                <w:sz w:val="24"/>
                <w:szCs w:val="24"/>
              </w:rPr>
            </w:pPr>
            <w:r>
              <w:rPr>
                <w:rFonts w:eastAsia="Times New Roman" w:cstheme="minorHAnsi"/>
                <w:color w:val="000000"/>
                <w:sz w:val="24"/>
                <w:szCs w:val="24"/>
              </w:rPr>
              <w:t>136,400</w:t>
            </w:r>
          </w:p>
        </w:tc>
      </w:tr>
      <w:tr w:rsidR="008656E3" w:rsidRPr="00250057" w14:paraId="3C0D6C09" w14:textId="77777777" w:rsidTr="00AC108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44A1A17D" w:rsidR="008656E3" w:rsidRPr="00AC108F" w:rsidRDefault="006D022A" w:rsidP="00B7614B">
            <w:pPr>
              <w:rPr>
                <w:rFonts w:eastAsia="Times New Roman" w:cstheme="minorHAnsi"/>
                <w:b/>
                <w:bCs/>
                <w:color w:val="000000"/>
                <w:sz w:val="24"/>
                <w:szCs w:val="24"/>
              </w:rPr>
            </w:pPr>
            <w:r>
              <w:rPr>
                <w:rFonts w:eastAsia="Times New Roman" w:cstheme="minorHAnsi"/>
                <w:b/>
                <w:bCs/>
                <w:color w:val="000000"/>
                <w:sz w:val="24"/>
                <w:szCs w:val="24"/>
              </w:rPr>
              <w:t>Boston-Cambridge-Newton Metro Area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1EB5C665" w:rsidR="008656E3" w:rsidRPr="00AC108F" w:rsidRDefault="00A56EEB" w:rsidP="00B7614B">
            <w:pPr>
              <w:jc w:val="right"/>
              <w:rPr>
                <w:rFonts w:eastAsia="Times New Roman" w:cstheme="minorHAnsi"/>
                <w:b/>
                <w:bCs/>
                <w:color w:val="000000"/>
                <w:sz w:val="24"/>
                <w:szCs w:val="24"/>
              </w:rPr>
            </w:pPr>
            <w:r>
              <w:rPr>
                <w:rFonts w:eastAsia="Times New Roman" w:cstheme="minorHAnsi"/>
                <w:b/>
                <w:bCs/>
                <w:color w:val="000000"/>
                <w:sz w:val="24"/>
                <w:szCs w:val="24"/>
              </w:rPr>
              <w:t>245,400</w:t>
            </w:r>
          </w:p>
        </w:tc>
      </w:tr>
      <w:tr w:rsidR="008656E3" w:rsidRPr="00250057" w14:paraId="49A46839"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281CF77A" w:rsidR="008656E3" w:rsidRDefault="00A56EEB" w:rsidP="00B7614B">
            <w:pPr>
              <w:jc w:val="right"/>
              <w:rPr>
                <w:rFonts w:eastAsia="Times New Roman" w:cstheme="minorHAnsi"/>
                <w:color w:val="000000"/>
                <w:sz w:val="24"/>
                <w:szCs w:val="24"/>
              </w:rPr>
            </w:pPr>
            <w:r>
              <w:rPr>
                <w:rFonts w:eastAsia="Times New Roman" w:cstheme="minorHAnsi"/>
                <w:color w:val="000000"/>
                <w:sz w:val="24"/>
                <w:szCs w:val="24"/>
              </w:rPr>
              <w:t>168,200</w:t>
            </w:r>
          </w:p>
        </w:tc>
      </w:tr>
      <w:tr w:rsidR="00FA487B" w:rsidRPr="002E24C9" w14:paraId="3199ECE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5FFFF76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w:t>
            </w:r>
            <w:r w:rsidR="00C16D3F">
              <w:rPr>
                <w:rFonts w:eastAsia="Times New Roman" w:cstheme="minorHAnsi"/>
                <w:b/>
                <w:bCs/>
                <w:color w:val="000000"/>
                <w:sz w:val="24"/>
                <w:szCs w:val="24"/>
              </w:rPr>
              <w:t>Members of Condo Associations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39CE0889" w:rsidR="00FA487B" w:rsidRPr="002E24C9" w:rsidRDefault="006D022A" w:rsidP="00B7614B">
            <w:pPr>
              <w:jc w:val="right"/>
              <w:rPr>
                <w:rFonts w:eastAsia="Times New Roman" w:cstheme="minorHAnsi"/>
                <w:b/>
                <w:bCs/>
                <w:color w:val="000000"/>
                <w:sz w:val="24"/>
                <w:szCs w:val="24"/>
              </w:rPr>
            </w:pPr>
            <w:r>
              <w:rPr>
                <w:rFonts w:eastAsia="Times New Roman" w:cstheme="minorHAnsi"/>
                <w:b/>
                <w:bCs/>
                <w:color w:val="000000"/>
                <w:sz w:val="24"/>
                <w:szCs w:val="24"/>
              </w:rPr>
              <w:t>68,800</w:t>
            </w:r>
          </w:p>
        </w:tc>
      </w:tr>
      <w:tr w:rsidR="00FA487B" w:rsidRPr="002E24C9" w14:paraId="410E695E"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5609E5A8" w:rsidR="00FA487B" w:rsidRPr="002E24C9" w:rsidRDefault="006D022A" w:rsidP="00B7614B">
            <w:pPr>
              <w:jc w:val="right"/>
              <w:rPr>
                <w:rFonts w:eastAsia="Times New Roman" w:cstheme="minorHAnsi"/>
                <w:color w:val="000000"/>
                <w:sz w:val="24"/>
                <w:szCs w:val="24"/>
              </w:rPr>
            </w:pPr>
            <w:r>
              <w:rPr>
                <w:rFonts w:eastAsia="Times New Roman" w:cstheme="minorHAnsi"/>
                <w:color w:val="000000"/>
                <w:sz w:val="24"/>
                <w:szCs w:val="24"/>
              </w:rPr>
              <w:t>210,000</w:t>
            </w:r>
          </w:p>
        </w:tc>
      </w:tr>
    </w:tbl>
    <w:p w14:paraId="7598D717" w14:textId="48AC1440" w:rsidR="00FA487B" w:rsidRDefault="00FA487B" w:rsidP="00FA487B">
      <w:pPr>
        <w:rPr>
          <w:rFonts w:ascii="Times New Roman" w:hAnsi="Times New Roman" w:cs="Times New Roman"/>
          <w:sz w:val="24"/>
          <w:szCs w:val="24"/>
        </w:rPr>
      </w:pPr>
    </w:p>
    <w:p w14:paraId="07707BE6" w14:textId="014DC9B3" w:rsidR="00AC108F" w:rsidRDefault="00AC108F" w:rsidP="00594E51">
      <w:pPr>
        <w:rPr>
          <w:rFonts w:ascii="Times New Roman" w:hAnsi="Times New Roman" w:cs="Times New Roman"/>
          <w:sz w:val="24"/>
          <w:szCs w:val="24"/>
        </w:rPr>
      </w:pPr>
    </w:p>
    <w:p w14:paraId="203F92C6" w14:textId="77777777" w:rsidR="00AC108F" w:rsidRDefault="00AC108F" w:rsidP="00594E51">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0D0348" w:rsidRPr="000D0348" w14:paraId="4E3E11E9" w14:textId="77777777" w:rsidTr="000D0348">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F056D47" w14:textId="77777777" w:rsidR="000D0348" w:rsidRPr="000D0348" w:rsidRDefault="000D0348" w:rsidP="000D0348">
            <w:pPr>
              <w:spacing w:after="0" w:line="240" w:lineRule="auto"/>
              <w:jc w:val="center"/>
              <w:rPr>
                <w:rFonts w:ascii="Helvetica" w:eastAsia="Times New Roman" w:hAnsi="Helvetica" w:cs="Helvetica"/>
                <w:color w:val="000000"/>
                <w:sz w:val="25"/>
                <w:szCs w:val="25"/>
              </w:rPr>
            </w:pPr>
            <w:r w:rsidRPr="000D0348">
              <w:rPr>
                <w:rFonts w:ascii="Helvetica" w:eastAsia="Times New Roman" w:hAnsi="Helvetica" w:cs="Helvetica"/>
                <w:color w:val="000000"/>
                <w:sz w:val="25"/>
                <w:szCs w:val="25"/>
              </w:rPr>
              <w:t xml:space="preserve">2019 Boston - Housing Costs - All Occupied Units    </w:t>
            </w:r>
            <w:r w:rsidRPr="000D0348">
              <w:rPr>
                <w:rFonts w:ascii="Helvetica" w:eastAsia="Times New Roman" w:hAnsi="Helvetica" w:cs="Helvetica"/>
                <w:color w:val="000000"/>
                <w:sz w:val="25"/>
                <w:szCs w:val="25"/>
              </w:rPr>
              <w:br/>
              <w:t>Boston-Cambridge-Newton, MA-NH MSA (2013 OMB definition)</w:t>
            </w:r>
          </w:p>
        </w:tc>
      </w:tr>
      <w:tr w:rsidR="000D0348" w:rsidRPr="000D0348" w14:paraId="04D3DCF6" w14:textId="77777777" w:rsidTr="000D0348">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E41FEAC" w14:textId="77777777" w:rsidR="000D0348" w:rsidRPr="000D0348" w:rsidRDefault="000D0348" w:rsidP="000D0348">
            <w:pPr>
              <w:spacing w:after="0" w:line="240" w:lineRule="auto"/>
              <w:rPr>
                <w:rFonts w:ascii="Helvetica" w:eastAsia="Times New Roman" w:hAnsi="Helvetica" w:cs="Helvetica"/>
                <w:b/>
                <w:bCs/>
                <w:color w:val="000000"/>
                <w:sz w:val="16"/>
                <w:szCs w:val="16"/>
              </w:rPr>
            </w:pPr>
            <w:r w:rsidRPr="000D0348">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0D0348" w:rsidRPr="000D0348" w14:paraId="2FCAF6B6" w14:textId="77777777" w:rsidTr="000D0348">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ED07FFD" w14:textId="77777777" w:rsidR="000D0348" w:rsidRPr="000D0348" w:rsidRDefault="00C81397" w:rsidP="000D0348">
            <w:pPr>
              <w:spacing w:after="0" w:line="240" w:lineRule="auto"/>
              <w:jc w:val="center"/>
              <w:rPr>
                <w:rFonts w:ascii="Helvetica" w:eastAsia="Times New Roman" w:hAnsi="Helvetica" w:cs="Helvetica"/>
                <w:b/>
                <w:bCs/>
                <w:color w:val="0000FF"/>
                <w:sz w:val="18"/>
                <w:szCs w:val="18"/>
                <w:u w:val="single"/>
              </w:rPr>
            </w:pPr>
            <w:hyperlink r:id="rId11" w:history="1">
              <w:r w:rsidR="000D0348" w:rsidRPr="000D0348">
                <w:rPr>
                  <w:rFonts w:ascii="Helvetica" w:eastAsia="Times New Roman" w:hAnsi="Helvetica" w:cs="Helvetica"/>
                  <w:b/>
                  <w:bCs/>
                  <w:color w:val="0000FF"/>
                  <w:sz w:val="18"/>
                  <w:szCs w:val="18"/>
                  <w:u w:val="single"/>
                </w:rPr>
                <w:t>Subject Definitions</w:t>
              </w:r>
            </w:hyperlink>
          </w:p>
        </w:tc>
      </w:tr>
      <w:tr w:rsidR="000D0348" w:rsidRPr="000D0348" w14:paraId="3828788A" w14:textId="77777777" w:rsidTr="000D0348">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186769E1"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52559456"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 </w:t>
            </w:r>
          </w:p>
        </w:tc>
      </w:tr>
      <w:tr w:rsidR="000D0348" w:rsidRPr="000D0348" w14:paraId="7C2371E4" w14:textId="77777777" w:rsidTr="000D0348">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3A5230C" w14:textId="77777777" w:rsidR="000D0348" w:rsidRPr="000D0348" w:rsidRDefault="000D0348" w:rsidP="000D0348">
            <w:pPr>
              <w:spacing w:after="0" w:line="240" w:lineRule="auto"/>
              <w:jc w:val="center"/>
              <w:rPr>
                <w:rFonts w:ascii="Helvetica" w:eastAsia="Times New Roman" w:hAnsi="Helvetica" w:cs="Helvetica"/>
                <w:b/>
                <w:bCs/>
                <w:color w:val="000000"/>
              </w:rPr>
            </w:pPr>
            <w:r w:rsidRPr="000D0348">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713E3FD3" w14:textId="77777777" w:rsidR="000D0348" w:rsidRPr="000D0348" w:rsidRDefault="000D0348" w:rsidP="000D0348">
            <w:pPr>
              <w:spacing w:after="0" w:line="240" w:lineRule="auto"/>
              <w:jc w:val="center"/>
              <w:rPr>
                <w:rFonts w:ascii="Helvetica" w:eastAsia="Times New Roman" w:hAnsi="Helvetica" w:cs="Helvetica"/>
                <w:b/>
                <w:bCs/>
                <w:color w:val="000000"/>
              </w:rPr>
            </w:pPr>
            <w:r w:rsidRPr="000D0348">
              <w:rPr>
                <w:rFonts w:ascii="Helvetica" w:eastAsia="Times New Roman" w:hAnsi="Helvetica" w:cs="Helvetica"/>
                <w:b/>
                <w:bCs/>
                <w:color w:val="000000"/>
              </w:rPr>
              <w:t>Estimate</w:t>
            </w:r>
          </w:p>
        </w:tc>
      </w:tr>
      <w:tr w:rsidR="000D0348" w:rsidRPr="000D0348" w14:paraId="69E3D56A" w14:textId="77777777" w:rsidTr="000D0348">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6D53BEC" w14:textId="77777777" w:rsidR="000D0348" w:rsidRPr="000D0348" w:rsidRDefault="000D0348" w:rsidP="000D0348">
            <w:pPr>
              <w:spacing w:after="0" w:line="240" w:lineRule="auto"/>
              <w:rPr>
                <w:rFonts w:ascii="Helvetica" w:eastAsia="Times New Roman" w:hAnsi="Helvetica" w:cs="Helvetica"/>
                <w:b/>
                <w:bCs/>
                <w:color w:val="000000"/>
              </w:rPr>
            </w:pPr>
            <w:r w:rsidRPr="000D0348">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6D68D5ED"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 xml:space="preserve">            </w:t>
            </w:r>
          </w:p>
        </w:tc>
      </w:tr>
      <w:tr w:rsidR="000D0348" w:rsidRPr="000D0348" w14:paraId="404FDD02"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47F2822"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D339E61"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 xml:space="preserve">            </w:t>
            </w:r>
          </w:p>
        </w:tc>
      </w:tr>
      <w:tr w:rsidR="000D0348" w:rsidRPr="000D0348" w14:paraId="73E188D0"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2DE739C"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3B06185D"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207.8</w:t>
            </w:r>
          </w:p>
        </w:tc>
      </w:tr>
      <w:tr w:rsidR="000D0348" w:rsidRPr="000D0348" w14:paraId="5A5D96EE"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E4A9C62"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7F5E2926"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28.2</w:t>
            </w:r>
          </w:p>
        </w:tc>
      </w:tr>
      <w:tr w:rsidR="000D0348" w:rsidRPr="000D0348" w14:paraId="1FE14238"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37419AD"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2809ED4C"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 xml:space="preserve">           S</w:t>
            </w:r>
          </w:p>
        </w:tc>
      </w:tr>
      <w:tr w:rsidR="000D0348" w:rsidRPr="000D0348" w14:paraId="2B6A2D1A"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FB62E5F"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2B1DA5B0"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 xml:space="preserve">           S</w:t>
            </w:r>
          </w:p>
        </w:tc>
      </w:tr>
      <w:tr w:rsidR="000D0348" w:rsidRPr="000D0348" w14:paraId="1CEE3FC6"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35101F5"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75C4E0BA"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 xml:space="preserve">           S</w:t>
            </w:r>
          </w:p>
        </w:tc>
      </w:tr>
      <w:tr w:rsidR="000D0348" w:rsidRPr="000D0348" w14:paraId="4F1F9482"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B1160AC"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64B6AD34"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36.6</w:t>
            </w:r>
          </w:p>
        </w:tc>
      </w:tr>
      <w:tr w:rsidR="000D0348" w:rsidRPr="000D0348" w14:paraId="4BC505E5"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991194B"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E841276"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61.1</w:t>
            </w:r>
          </w:p>
        </w:tc>
      </w:tr>
      <w:tr w:rsidR="000D0348" w:rsidRPr="000D0348" w14:paraId="7AD96E75"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07FF18A"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276222AF"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33.6</w:t>
            </w:r>
          </w:p>
        </w:tc>
      </w:tr>
      <w:tr w:rsidR="000D0348" w:rsidRPr="000D0348" w14:paraId="6E719182" w14:textId="77777777" w:rsidTr="000D034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26F8B60" w14:textId="77777777" w:rsidR="000D0348" w:rsidRPr="000D0348" w:rsidRDefault="000D0348" w:rsidP="000D0348">
            <w:pPr>
              <w:spacing w:after="0" w:line="240" w:lineRule="auto"/>
              <w:rPr>
                <w:rFonts w:ascii="Helvetica" w:eastAsia="Times New Roman" w:hAnsi="Helvetica" w:cs="Helvetica"/>
                <w:color w:val="000000"/>
              </w:rPr>
            </w:pPr>
            <w:r w:rsidRPr="000D0348">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0C428193"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30.2</w:t>
            </w:r>
          </w:p>
        </w:tc>
      </w:tr>
      <w:tr w:rsidR="000D0348" w:rsidRPr="000D0348" w14:paraId="0FD634C0" w14:textId="77777777" w:rsidTr="000D034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5E82666" w14:textId="77777777" w:rsidR="000D0348" w:rsidRPr="000D0348" w:rsidRDefault="000D0348" w:rsidP="000D0348">
            <w:pPr>
              <w:spacing w:after="0" w:line="240" w:lineRule="auto"/>
              <w:rPr>
                <w:rFonts w:ascii="Helvetica" w:eastAsia="Times New Roman" w:hAnsi="Helvetica" w:cs="Helvetica"/>
                <w:b/>
                <w:bCs/>
                <w:color w:val="000000"/>
              </w:rPr>
            </w:pPr>
            <w:r w:rsidRPr="000D0348">
              <w:rPr>
                <w:rFonts w:ascii="Helvetica" w:eastAsia="Times New Roman" w:hAnsi="Helvetica" w:cs="Helvetica"/>
                <w:b/>
                <w:bCs/>
                <w:color w:val="000000"/>
              </w:rPr>
              <w:t>Median (</w:t>
            </w:r>
            <w:proofErr w:type="gramStart"/>
            <w:r w:rsidRPr="000D0348">
              <w:rPr>
                <w:rFonts w:ascii="Helvetica" w:eastAsia="Times New Roman" w:hAnsi="Helvetica" w:cs="Helvetica"/>
                <w:b/>
                <w:bCs/>
                <w:color w:val="000000"/>
              </w:rPr>
              <w:t>dollars)   </w:t>
            </w:r>
            <w:proofErr w:type="gramEnd"/>
            <w:r w:rsidRPr="000D034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615DD44"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308.0</w:t>
            </w:r>
          </w:p>
        </w:tc>
      </w:tr>
      <w:tr w:rsidR="000D0348" w:rsidRPr="000D0348" w14:paraId="2AADB1FB" w14:textId="77777777" w:rsidTr="000D034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7B26253" w14:textId="77777777" w:rsidR="000D0348" w:rsidRPr="000D0348" w:rsidRDefault="000D0348" w:rsidP="000D0348">
            <w:pPr>
              <w:spacing w:after="0" w:line="240" w:lineRule="auto"/>
              <w:rPr>
                <w:rFonts w:ascii="Helvetica" w:eastAsia="Times New Roman" w:hAnsi="Helvetica" w:cs="Helvetica"/>
                <w:b/>
                <w:bCs/>
                <w:color w:val="000000"/>
              </w:rPr>
            </w:pPr>
            <w:r w:rsidRPr="000D0348">
              <w:rPr>
                <w:rFonts w:ascii="Helvetica" w:eastAsia="Times New Roman" w:hAnsi="Helvetica" w:cs="Helvetica"/>
                <w:b/>
                <w:bCs/>
                <w:color w:val="000000"/>
              </w:rPr>
              <w:t>Mean (</w:t>
            </w:r>
            <w:proofErr w:type="gramStart"/>
            <w:r w:rsidRPr="000D0348">
              <w:rPr>
                <w:rFonts w:ascii="Helvetica" w:eastAsia="Times New Roman" w:hAnsi="Helvetica" w:cs="Helvetica"/>
                <w:b/>
                <w:bCs/>
                <w:color w:val="000000"/>
              </w:rPr>
              <w:t>dollars)   </w:t>
            </w:r>
            <w:proofErr w:type="gramEnd"/>
            <w:r w:rsidRPr="000D034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172C2F4" w14:textId="77777777" w:rsidR="000D0348" w:rsidRPr="000D0348" w:rsidRDefault="000D0348" w:rsidP="000D0348">
            <w:pPr>
              <w:spacing w:after="0" w:line="240" w:lineRule="auto"/>
              <w:jc w:val="right"/>
              <w:rPr>
                <w:rFonts w:ascii="Helvetica" w:eastAsia="Times New Roman" w:hAnsi="Helvetica" w:cs="Helvetica"/>
                <w:color w:val="000000"/>
              </w:rPr>
            </w:pPr>
            <w:r w:rsidRPr="000D0348">
              <w:rPr>
                <w:rFonts w:ascii="Helvetica" w:eastAsia="Times New Roman" w:hAnsi="Helvetica" w:cs="Helvetica"/>
                <w:color w:val="000000"/>
              </w:rPr>
              <w:t>443.6</w:t>
            </w:r>
          </w:p>
        </w:tc>
      </w:tr>
    </w:tbl>
    <w:p w14:paraId="3DC36F54" w14:textId="0D92C17C" w:rsidR="00BA6701" w:rsidRDefault="00BA6701" w:rsidP="00594E51">
      <w:pPr>
        <w:rPr>
          <w:rFonts w:ascii="Times New Roman" w:hAnsi="Times New Roman" w:cs="Times New Roman"/>
          <w:sz w:val="24"/>
          <w:szCs w:val="24"/>
        </w:rPr>
      </w:pPr>
    </w:p>
    <w:p w14:paraId="52156EF6" w14:textId="1B4EC70F" w:rsidR="00BA6701" w:rsidRDefault="00BA6701" w:rsidP="00594E51">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466C98" w:rsidRPr="00466C98" w14:paraId="0B3D48EA" w14:textId="77777777" w:rsidTr="00466C98">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4793C6C5" w14:textId="77777777" w:rsidR="00466C98" w:rsidRPr="00466C98" w:rsidRDefault="00466C98" w:rsidP="00466C98">
            <w:pPr>
              <w:spacing w:after="0" w:line="240" w:lineRule="auto"/>
              <w:jc w:val="center"/>
              <w:rPr>
                <w:rFonts w:ascii="Helvetica" w:eastAsia="Times New Roman" w:hAnsi="Helvetica" w:cs="Helvetica"/>
                <w:color w:val="000000"/>
                <w:sz w:val="25"/>
                <w:szCs w:val="25"/>
              </w:rPr>
            </w:pPr>
            <w:r w:rsidRPr="00466C98">
              <w:rPr>
                <w:rFonts w:ascii="Helvetica" w:eastAsia="Times New Roman" w:hAnsi="Helvetica" w:cs="Helvetica"/>
                <w:color w:val="000000"/>
                <w:sz w:val="25"/>
                <w:szCs w:val="25"/>
              </w:rPr>
              <w:t>2019 Massachusetts - Housing Costs - All Occupied Units</w:t>
            </w:r>
          </w:p>
        </w:tc>
      </w:tr>
      <w:tr w:rsidR="00466C98" w:rsidRPr="00466C98" w14:paraId="5B334A17" w14:textId="77777777" w:rsidTr="00466C98">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922E836" w14:textId="77777777" w:rsidR="00466C98" w:rsidRPr="00466C98" w:rsidRDefault="00466C98" w:rsidP="00466C98">
            <w:pPr>
              <w:spacing w:after="0" w:line="240" w:lineRule="auto"/>
              <w:rPr>
                <w:rFonts w:ascii="Helvetica" w:eastAsia="Times New Roman" w:hAnsi="Helvetica" w:cs="Helvetica"/>
                <w:b/>
                <w:bCs/>
                <w:color w:val="000000"/>
                <w:sz w:val="16"/>
                <w:szCs w:val="16"/>
              </w:rPr>
            </w:pPr>
            <w:r w:rsidRPr="00466C98">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466C98" w:rsidRPr="00466C98" w14:paraId="0AD2DE78" w14:textId="77777777" w:rsidTr="00466C98">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59AE3277" w14:textId="77777777" w:rsidR="00466C98" w:rsidRPr="00466C98" w:rsidRDefault="00C81397" w:rsidP="00466C98">
            <w:pPr>
              <w:spacing w:after="0" w:line="240" w:lineRule="auto"/>
              <w:jc w:val="center"/>
              <w:rPr>
                <w:rFonts w:ascii="Helvetica" w:eastAsia="Times New Roman" w:hAnsi="Helvetica" w:cs="Helvetica"/>
                <w:b/>
                <w:bCs/>
                <w:color w:val="0000FF"/>
                <w:sz w:val="18"/>
                <w:szCs w:val="18"/>
                <w:u w:val="single"/>
              </w:rPr>
            </w:pPr>
            <w:hyperlink r:id="rId12" w:history="1">
              <w:r w:rsidR="00466C98" w:rsidRPr="00466C98">
                <w:rPr>
                  <w:rFonts w:ascii="Helvetica" w:eastAsia="Times New Roman" w:hAnsi="Helvetica" w:cs="Helvetica"/>
                  <w:b/>
                  <w:bCs/>
                  <w:color w:val="0000FF"/>
                  <w:sz w:val="18"/>
                  <w:szCs w:val="18"/>
                  <w:u w:val="single"/>
                </w:rPr>
                <w:t>Subject Definitions</w:t>
              </w:r>
            </w:hyperlink>
          </w:p>
        </w:tc>
      </w:tr>
      <w:tr w:rsidR="00466C98" w:rsidRPr="00466C98" w14:paraId="752E178C" w14:textId="77777777" w:rsidTr="00466C98">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56AD4FE6"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51DF0E22"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w:t>
            </w:r>
          </w:p>
        </w:tc>
      </w:tr>
      <w:tr w:rsidR="00466C98" w:rsidRPr="00466C98" w14:paraId="46FBC5FF" w14:textId="77777777" w:rsidTr="00466C98">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44A56F7" w14:textId="77777777" w:rsidR="00466C98" w:rsidRPr="00466C98" w:rsidRDefault="00466C98" w:rsidP="00466C98">
            <w:pPr>
              <w:spacing w:after="0" w:line="240" w:lineRule="auto"/>
              <w:jc w:val="center"/>
              <w:rPr>
                <w:rFonts w:ascii="Helvetica" w:eastAsia="Times New Roman" w:hAnsi="Helvetica" w:cs="Helvetica"/>
                <w:b/>
                <w:bCs/>
                <w:color w:val="000000"/>
              </w:rPr>
            </w:pPr>
            <w:r w:rsidRPr="00466C98">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32F6F402" w14:textId="77777777" w:rsidR="00466C98" w:rsidRPr="00466C98" w:rsidRDefault="00466C98" w:rsidP="00466C98">
            <w:pPr>
              <w:spacing w:after="0" w:line="240" w:lineRule="auto"/>
              <w:jc w:val="center"/>
              <w:rPr>
                <w:rFonts w:ascii="Helvetica" w:eastAsia="Times New Roman" w:hAnsi="Helvetica" w:cs="Helvetica"/>
                <w:b/>
                <w:bCs/>
                <w:color w:val="000000"/>
              </w:rPr>
            </w:pPr>
            <w:r w:rsidRPr="00466C98">
              <w:rPr>
                <w:rFonts w:ascii="Helvetica" w:eastAsia="Times New Roman" w:hAnsi="Helvetica" w:cs="Helvetica"/>
                <w:b/>
                <w:bCs/>
                <w:color w:val="000000"/>
              </w:rPr>
              <w:t>Estimate</w:t>
            </w:r>
          </w:p>
        </w:tc>
      </w:tr>
      <w:tr w:rsidR="00466C98" w:rsidRPr="00466C98" w14:paraId="67AD5C10" w14:textId="77777777" w:rsidTr="00466C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43E7963D" w14:textId="77777777" w:rsidR="00466C98" w:rsidRPr="00466C98" w:rsidRDefault="00466C98" w:rsidP="00466C98">
            <w:pPr>
              <w:spacing w:after="0" w:line="240" w:lineRule="auto"/>
              <w:rPr>
                <w:rFonts w:ascii="Helvetica" w:eastAsia="Times New Roman" w:hAnsi="Helvetica" w:cs="Helvetica"/>
                <w:b/>
                <w:bCs/>
                <w:color w:val="000000"/>
              </w:rPr>
            </w:pPr>
            <w:r w:rsidRPr="00466C98">
              <w:rPr>
                <w:rFonts w:ascii="Helvetica" w:eastAsia="Times New Roman" w:hAnsi="Helvetica" w:cs="Helvetica"/>
                <w:b/>
                <w:bCs/>
                <w:color w:val="000000"/>
              </w:rPr>
              <w:lastRenderedPageBreak/>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267B6A65"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 xml:space="preserve">            </w:t>
            </w:r>
          </w:p>
        </w:tc>
      </w:tr>
      <w:tr w:rsidR="00466C98" w:rsidRPr="00466C98" w14:paraId="2462D6FD"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0B1B492"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C6907F3"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 xml:space="preserve">            </w:t>
            </w:r>
          </w:p>
        </w:tc>
      </w:tr>
      <w:tr w:rsidR="00466C98" w:rsidRPr="00466C98" w14:paraId="1E06E5D3"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EDE6174"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344D8C2A"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253.7</w:t>
            </w:r>
          </w:p>
        </w:tc>
      </w:tr>
      <w:tr w:rsidR="00466C98" w:rsidRPr="00466C98" w14:paraId="4844BF48"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9AB9CD5"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7AC4E4E"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37.4</w:t>
            </w:r>
          </w:p>
        </w:tc>
      </w:tr>
      <w:tr w:rsidR="00466C98" w:rsidRPr="00466C98" w14:paraId="47E23B77"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06B08CC"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753D3334"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 xml:space="preserve">           S</w:t>
            </w:r>
          </w:p>
        </w:tc>
      </w:tr>
      <w:tr w:rsidR="00466C98" w:rsidRPr="00466C98" w14:paraId="61C362B9"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D101B85"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7DFCAE9B"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 xml:space="preserve">           S</w:t>
            </w:r>
          </w:p>
        </w:tc>
      </w:tr>
      <w:tr w:rsidR="00466C98" w:rsidRPr="00466C98" w14:paraId="5E4A8ABD"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FAF3B23"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207C5EB8"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 xml:space="preserve">           S</w:t>
            </w:r>
          </w:p>
        </w:tc>
      </w:tr>
      <w:tr w:rsidR="00466C98" w:rsidRPr="00466C98" w14:paraId="2CDE9B9A"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CB962F4"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1F1612DE"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39.2</w:t>
            </w:r>
          </w:p>
        </w:tc>
      </w:tr>
      <w:tr w:rsidR="00466C98" w:rsidRPr="00466C98" w14:paraId="2DE94B3E"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3042B53"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01FEFAD4"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70.4</w:t>
            </w:r>
          </w:p>
        </w:tc>
      </w:tr>
      <w:tr w:rsidR="00466C98" w:rsidRPr="00466C98" w14:paraId="7035BA62"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9F85427"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76C149B6"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35.1</w:t>
            </w:r>
          </w:p>
        </w:tc>
      </w:tr>
      <w:tr w:rsidR="00466C98" w:rsidRPr="00466C98" w14:paraId="7F92C022" w14:textId="77777777" w:rsidTr="00466C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83C37C3"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19341EEA"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48.1</w:t>
            </w:r>
          </w:p>
        </w:tc>
      </w:tr>
      <w:tr w:rsidR="00466C98" w:rsidRPr="00466C98" w14:paraId="7698DA7D" w14:textId="77777777" w:rsidTr="00466C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E1E358" w14:textId="77777777" w:rsidR="00466C98" w:rsidRPr="00466C98" w:rsidRDefault="00466C98" w:rsidP="00466C98">
            <w:pPr>
              <w:spacing w:after="0" w:line="240" w:lineRule="auto"/>
              <w:rPr>
                <w:rFonts w:ascii="Helvetica" w:eastAsia="Times New Roman" w:hAnsi="Helvetica" w:cs="Helvetica"/>
                <w:b/>
                <w:bCs/>
                <w:color w:val="000000"/>
              </w:rPr>
            </w:pPr>
            <w:r w:rsidRPr="00466C98">
              <w:rPr>
                <w:rFonts w:ascii="Helvetica" w:eastAsia="Times New Roman" w:hAnsi="Helvetica" w:cs="Helvetica"/>
                <w:b/>
                <w:bCs/>
                <w:color w:val="000000"/>
              </w:rPr>
              <w:t>Median (</w:t>
            </w:r>
            <w:proofErr w:type="gramStart"/>
            <w:r w:rsidRPr="00466C98">
              <w:rPr>
                <w:rFonts w:ascii="Helvetica" w:eastAsia="Times New Roman" w:hAnsi="Helvetica" w:cs="Helvetica"/>
                <w:b/>
                <w:bCs/>
                <w:color w:val="000000"/>
              </w:rPr>
              <w:t>dollars)   </w:t>
            </w:r>
            <w:proofErr w:type="gramEnd"/>
            <w:r w:rsidRPr="00466C9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63DB7EB5"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300.0</w:t>
            </w:r>
          </w:p>
        </w:tc>
      </w:tr>
      <w:tr w:rsidR="00466C98" w:rsidRPr="00466C98" w14:paraId="2727123C" w14:textId="77777777" w:rsidTr="00466C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102ED76" w14:textId="77777777" w:rsidR="00466C98" w:rsidRPr="00466C98" w:rsidRDefault="00466C98" w:rsidP="00466C98">
            <w:pPr>
              <w:spacing w:after="0" w:line="240" w:lineRule="auto"/>
              <w:rPr>
                <w:rFonts w:ascii="Helvetica" w:eastAsia="Times New Roman" w:hAnsi="Helvetica" w:cs="Helvetica"/>
                <w:b/>
                <w:bCs/>
                <w:color w:val="000000"/>
              </w:rPr>
            </w:pPr>
            <w:r w:rsidRPr="00466C98">
              <w:rPr>
                <w:rFonts w:ascii="Helvetica" w:eastAsia="Times New Roman" w:hAnsi="Helvetica" w:cs="Helvetica"/>
                <w:b/>
                <w:bCs/>
                <w:color w:val="000000"/>
              </w:rPr>
              <w:t>Mean (</w:t>
            </w:r>
            <w:proofErr w:type="gramStart"/>
            <w:r w:rsidRPr="00466C98">
              <w:rPr>
                <w:rFonts w:ascii="Helvetica" w:eastAsia="Times New Roman" w:hAnsi="Helvetica" w:cs="Helvetica"/>
                <w:b/>
                <w:bCs/>
                <w:color w:val="000000"/>
              </w:rPr>
              <w:t>dollars)   </w:t>
            </w:r>
            <w:proofErr w:type="gramEnd"/>
            <w:r w:rsidRPr="00466C9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85CB20A" w14:textId="77777777" w:rsidR="00466C98" w:rsidRPr="00466C98" w:rsidRDefault="00466C98" w:rsidP="00466C98">
            <w:pPr>
              <w:spacing w:after="0" w:line="240" w:lineRule="auto"/>
              <w:jc w:val="right"/>
              <w:rPr>
                <w:rFonts w:ascii="Helvetica" w:eastAsia="Times New Roman" w:hAnsi="Helvetica" w:cs="Helvetica"/>
                <w:color w:val="000000"/>
              </w:rPr>
            </w:pPr>
            <w:r w:rsidRPr="00466C98">
              <w:rPr>
                <w:rFonts w:ascii="Helvetica" w:eastAsia="Times New Roman" w:hAnsi="Helvetica" w:cs="Helvetica"/>
                <w:color w:val="000000"/>
              </w:rPr>
              <w:t>406.0</w:t>
            </w:r>
          </w:p>
        </w:tc>
      </w:tr>
      <w:tr w:rsidR="00466C98" w:rsidRPr="00466C98" w14:paraId="271B8CE9" w14:textId="77777777" w:rsidTr="00466C98">
        <w:trPr>
          <w:trHeight w:val="279"/>
          <w:jc w:val="center"/>
        </w:trPr>
        <w:tc>
          <w:tcPr>
            <w:tcW w:w="8720" w:type="dxa"/>
            <w:tcBorders>
              <w:top w:val="nil"/>
              <w:left w:val="nil"/>
              <w:bottom w:val="nil"/>
              <w:right w:val="nil"/>
            </w:tcBorders>
            <w:shd w:val="clear" w:color="000000" w:fill="FFFFFF"/>
            <w:noWrap/>
            <w:vAlign w:val="bottom"/>
            <w:hideMark/>
          </w:tcPr>
          <w:p w14:paraId="20F35127"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w:t>
            </w:r>
          </w:p>
        </w:tc>
        <w:tc>
          <w:tcPr>
            <w:tcW w:w="1880" w:type="dxa"/>
            <w:tcBorders>
              <w:top w:val="nil"/>
              <w:left w:val="nil"/>
              <w:bottom w:val="nil"/>
              <w:right w:val="nil"/>
            </w:tcBorders>
            <w:shd w:val="clear" w:color="000000" w:fill="FFFFFF"/>
            <w:noWrap/>
            <w:vAlign w:val="bottom"/>
            <w:hideMark/>
          </w:tcPr>
          <w:p w14:paraId="317D1857" w14:textId="77777777" w:rsidR="00466C98" w:rsidRPr="00466C98" w:rsidRDefault="00466C98" w:rsidP="00466C98">
            <w:pPr>
              <w:spacing w:after="0" w:line="240" w:lineRule="auto"/>
              <w:rPr>
                <w:rFonts w:ascii="Helvetica" w:eastAsia="Times New Roman" w:hAnsi="Helvetica" w:cs="Helvetica"/>
                <w:color w:val="000000"/>
              </w:rPr>
            </w:pPr>
            <w:r w:rsidRPr="00466C98">
              <w:rPr>
                <w:rFonts w:ascii="Helvetica" w:eastAsia="Times New Roman" w:hAnsi="Helvetica" w:cs="Helvetica"/>
                <w:color w:val="000000"/>
              </w:rPr>
              <w:t> </w:t>
            </w:r>
          </w:p>
        </w:tc>
      </w:tr>
    </w:tbl>
    <w:p w14:paraId="38374F4F" w14:textId="3CEA60C4" w:rsidR="00BA6701" w:rsidRDefault="00BA6701" w:rsidP="00594E51">
      <w:pPr>
        <w:rPr>
          <w:rFonts w:ascii="Times New Roman" w:hAnsi="Times New Roman" w:cs="Times New Roman"/>
          <w:sz w:val="24"/>
          <w:szCs w:val="24"/>
        </w:rPr>
      </w:pPr>
    </w:p>
    <w:p w14:paraId="068F1B98" w14:textId="77777777" w:rsidR="00BA6701" w:rsidRDefault="00BA6701" w:rsidP="00594E51">
      <w:pPr>
        <w:rPr>
          <w:rFonts w:ascii="Times New Roman" w:hAnsi="Times New Roman" w:cs="Times New Roman"/>
          <w:sz w:val="24"/>
          <w:szCs w:val="24"/>
        </w:rPr>
      </w:pPr>
    </w:p>
    <w:p w14:paraId="4AA4A9AB" w14:textId="2A0DD48C" w:rsidR="00594E51" w:rsidRDefault="00594E51" w:rsidP="00594E51">
      <w:pPr>
        <w:rPr>
          <w:rFonts w:ascii="Times New Roman" w:hAnsi="Times New Roman" w:cs="Times New Roman"/>
          <w:sz w:val="24"/>
          <w:szCs w:val="24"/>
        </w:rPr>
      </w:pPr>
    </w:p>
    <w:p w14:paraId="6F9FC703" w14:textId="77777777" w:rsidR="00594E51" w:rsidRPr="00594E51" w:rsidRDefault="00594E51" w:rsidP="00594E51">
      <w:pPr>
        <w:rPr>
          <w:rFonts w:ascii="Times New Roman" w:hAnsi="Times New Roman" w:cs="Times New Roman"/>
          <w:sz w:val="24"/>
          <w:szCs w:val="24"/>
        </w:rPr>
      </w:pPr>
    </w:p>
    <w:p w14:paraId="79096C86" w14:textId="79953D8D" w:rsidR="000115CF" w:rsidRDefault="000115CF" w:rsidP="000115CF">
      <w:pPr>
        <w:rPr>
          <w:rFonts w:ascii="Times New Roman" w:hAnsi="Times New Roman" w:cs="Times New Roman"/>
          <w:sz w:val="24"/>
          <w:szCs w:val="24"/>
        </w:rPr>
      </w:pPr>
    </w:p>
    <w:p w14:paraId="0A2A868A" w14:textId="77777777" w:rsidR="00594E51" w:rsidRDefault="00594E51" w:rsidP="000115CF">
      <w:pPr>
        <w:rPr>
          <w:rFonts w:ascii="Times New Roman" w:hAnsi="Times New Roman" w:cs="Times New Roman"/>
          <w:sz w:val="24"/>
          <w:szCs w:val="24"/>
        </w:rPr>
      </w:pPr>
    </w:p>
    <w:sectPr w:rsidR="00594E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61C8F"/>
    <w:rsid w:val="0009136C"/>
    <w:rsid w:val="000A131D"/>
    <w:rsid w:val="000B0E6E"/>
    <w:rsid w:val="000D0348"/>
    <w:rsid w:val="001132C3"/>
    <w:rsid w:val="001218F3"/>
    <w:rsid w:val="00146EC0"/>
    <w:rsid w:val="0019525D"/>
    <w:rsid w:val="001E7264"/>
    <w:rsid w:val="002075E7"/>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525F5"/>
    <w:rsid w:val="00466C98"/>
    <w:rsid w:val="00487583"/>
    <w:rsid w:val="004B62A3"/>
    <w:rsid w:val="004C6951"/>
    <w:rsid w:val="004E0E32"/>
    <w:rsid w:val="004E6E89"/>
    <w:rsid w:val="004F7E98"/>
    <w:rsid w:val="00503859"/>
    <w:rsid w:val="00511108"/>
    <w:rsid w:val="00533353"/>
    <w:rsid w:val="005538ED"/>
    <w:rsid w:val="00591DA5"/>
    <w:rsid w:val="00594E51"/>
    <w:rsid w:val="005C7C39"/>
    <w:rsid w:val="005D6101"/>
    <w:rsid w:val="00602D54"/>
    <w:rsid w:val="00633EF5"/>
    <w:rsid w:val="006455A7"/>
    <w:rsid w:val="006832C5"/>
    <w:rsid w:val="006C4FFB"/>
    <w:rsid w:val="006D022A"/>
    <w:rsid w:val="0071495D"/>
    <w:rsid w:val="00736564"/>
    <w:rsid w:val="00770B76"/>
    <w:rsid w:val="00780E32"/>
    <w:rsid w:val="007847A3"/>
    <w:rsid w:val="00792C21"/>
    <w:rsid w:val="008115B4"/>
    <w:rsid w:val="00815AC2"/>
    <w:rsid w:val="00831EB1"/>
    <w:rsid w:val="00851A4C"/>
    <w:rsid w:val="008656E3"/>
    <w:rsid w:val="00890732"/>
    <w:rsid w:val="008B403F"/>
    <w:rsid w:val="008C077D"/>
    <w:rsid w:val="00903481"/>
    <w:rsid w:val="00911E55"/>
    <w:rsid w:val="00941376"/>
    <w:rsid w:val="00954AB8"/>
    <w:rsid w:val="0095544E"/>
    <w:rsid w:val="00972C43"/>
    <w:rsid w:val="00A339C9"/>
    <w:rsid w:val="00A56EEB"/>
    <w:rsid w:val="00AC108F"/>
    <w:rsid w:val="00AD6EA4"/>
    <w:rsid w:val="00AE318C"/>
    <w:rsid w:val="00AE4BFE"/>
    <w:rsid w:val="00B204AA"/>
    <w:rsid w:val="00B31F37"/>
    <w:rsid w:val="00BA6701"/>
    <w:rsid w:val="00C01368"/>
    <w:rsid w:val="00C054A0"/>
    <w:rsid w:val="00C161B4"/>
    <w:rsid w:val="00C16D3F"/>
    <w:rsid w:val="00C5123C"/>
    <w:rsid w:val="00C81397"/>
    <w:rsid w:val="00C96CD4"/>
    <w:rsid w:val="00CF0644"/>
    <w:rsid w:val="00D16F2E"/>
    <w:rsid w:val="00D17D60"/>
    <w:rsid w:val="00D3448B"/>
    <w:rsid w:val="00D70F9E"/>
    <w:rsid w:val="00E1278B"/>
    <w:rsid w:val="00E12C2F"/>
    <w:rsid w:val="00E71630"/>
    <w:rsid w:val="00E73DB4"/>
    <w:rsid w:val="00E91356"/>
    <w:rsid w:val="00EC6F64"/>
    <w:rsid w:val="00ED2ED3"/>
    <w:rsid w:val="00EE5F8F"/>
    <w:rsid w:val="00EE7579"/>
    <w:rsid w:val="00F44EAA"/>
    <w:rsid w:val="00F5449D"/>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347441860">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645546660">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2.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1FAD5-6D26-4DAE-BB5F-3AB66EAE10AC}"/>
</file>

<file path=docProps/app.xml><?xml version="1.0" encoding="utf-8"?>
<Properties xmlns="http://schemas.openxmlformats.org/officeDocument/2006/extended-properties" xmlns:vt="http://schemas.openxmlformats.org/officeDocument/2006/docPropsVTypes">
  <Template>Normal.dotm</Template>
  <TotalTime>14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8</cp:revision>
  <dcterms:created xsi:type="dcterms:W3CDTF">2022-01-26T20:35:00Z</dcterms:created>
  <dcterms:modified xsi:type="dcterms:W3CDTF">2022-02-01T19:41:00Z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