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37A10FB8" w:rsidR="00972C43" w:rsidRDefault="00FA487B" w:rsidP="00FA487B">
      <w:pPr>
        <w:jc w:val="center"/>
        <w:rPr>
          <w:rFonts w:ascii="Times New Roman" w:hAnsi="Times New Roman" w:cs="Times New Roman"/>
          <w:sz w:val="32"/>
          <w:szCs w:val="32"/>
        </w:rPr>
      </w:pPr>
      <w:r w:rsidRPr="00FA487B">
        <w:rPr>
          <w:rFonts w:ascii="Times New Roman" w:hAnsi="Times New Roman" w:cs="Times New Roman"/>
          <w:b/>
          <w:bCs/>
          <w:sz w:val="32"/>
          <w:szCs w:val="32"/>
        </w:rPr>
        <w:t>California Condominium Data and Statistics</w:t>
      </w:r>
    </w:p>
    <w:p w14:paraId="06BF1AC5" w14:textId="77777777" w:rsidR="00FA487B" w:rsidRDefault="00FA487B" w:rsidP="00FA487B">
      <w:pPr>
        <w:rPr>
          <w:rFonts w:ascii="Times New Roman" w:hAnsi="Times New Roman" w:cs="Times New Roman"/>
          <w:sz w:val="24"/>
          <w:szCs w:val="24"/>
        </w:rPr>
      </w:pPr>
    </w:p>
    <w:p w14:paraId="38E4EA19" w14:textId="35814D2C" w:rsidR="00FA487B" w:rsidRDefault="00FA487B" w:rsidP="00FA487B">
      <w:pPr>
        <w:rPr>
          <w:rFonts w:ascii="Times New Roman" w:hAnsi="Times New Roman" w:cs="Times New Roman"/>
          <w:sz w:val="24"/>
          <w:szCs w:val="24"/>
        </w:rPr>
      </w:pPr>
      <w:r>
        <w:rPr>
          <w:rFonts w:ascii="Times New Roman" w:hAnsi="Times New Roman" w:cs="Times New Roman"/>
          <w:sz w:val="24"/>
          <w:szCs w:val="24"/>
        </w:rPr>
        <w:t>There are an estimated 1,182,700 condo units in California, out of an estimated housing stock of 13,306,800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The American Community Survey divides California’s</w:t>
      </w:r>
      <w:r w:rsidR="001132C3">
        <w:rPr>
          <w:rFonts w:ascii="Times New Roman" w:hAnsi="Times New Roman" w:cs="Times New Roman"/>
          <w:sz w:val="24"/>
          <w:szCs w:val="24"/>
        </w:rPr>
        <w:t xml:space="preserve"> statewide</w:t>
      </w:r>
      <w:r w:rsidR="001218F3">
        <w:rPr>
          <w:rFonts w:ascii="Times New Roman" w:hAnsi="Times New Roman" w:cs="Times New Roman"/>
          <w:sz w:val="24"/>
          <w:szCs w:val="24"/>
        </w:rPr>
        <w:t xml:space="preserve"> housing stock based on </w:t>
      </w:r>
      <w:r w:rsidR="00340F05">
        <w:rPr>
          <w:rFonts w:ascii="Times New Roman" w:hAnsi="Times New Roman" w:cs="Times New Roman"/>
          <w:sz w:val="24"/>
          <w:szCs w:val="24"/>
        </w:rPr>
        <w:t xml:space="preserve">a Metropolitan Area’s </w:t>
      </w:r>
      <w:r w:rsidR="00851A4C">
        <w:rPr>
          <w:rFonts w:ascii="Times New Roman" w:hAnsi="Times New Roman" w:cs="Times New Roman"/>
          <w:sz w:val="24"/>
          <w:szCs w:val="24"/>
        </w:rPr>
        <w:t xml:space="preserve">proximity to a Central </w:t>
      </w:r>
      <w:r w:rsidR="00ED52BE">
        <w:rPr>
          <w:rFonts w:ascii="Times New Roman" w:hAnsi="Times New Roman" w:cs="Times New Roman"/>
          <w:sz w:val="24"/>
          <w:szCs w:val="24"/>
        </w:rPr>
        <w:t xml:space="preserve">or Non-Central </w:t>
      </w:r>
      <w:r w:rsidR="00851A4C">
        <w:rPr>
          <w:rFonts w:ascii="Times New Roman" w:hAnsi="Times New Roman" w:cs="Times New Roman"/>
          <w:sz w:val="24"/>
          <w:szCs w:val="24"/>
        </w:rPr>
        <w:t>City</w:t>
      </w:r>
      <w:r w:rsidR="001132C3">
        <w:rPr>
          <w:rFonts w:ascii="Times New Roman" w:hAnsi="Times New Roman" w:cs="Times New Roman"/>
          <w:sz w:val="24"/>
          <w:szCs w:val="24"/>
        </w:rPr>
        <w:t>,</w:t>
      </w:r>
      <w:r w:rsidR="00941376">
        <w:rPr>
          <w:rFonts w:ascii="Times New Roman" w:hAnsi="Times New Roman" w:cs="Times New Roman"/>
          <w:sz w:val="24"/>
          <w:szCs w:val="24"/>
        </w:rPr>
        <w:t xml:space="preserve"> with several of these areas being tracked </w:t>
      </w:r>
      <w:r w:rsidR="005F6A39">
        <w:rPr>
          <w:rFonts w:ascii="Times New Roman" w:hAnsi="Times New Roman" w:cs="Times New Roman"/>
          <w:sz w:val="24"/>
          <w:szCs w:val="24"/>
        </w:rPr>
        <w:t>separate from</w:t>
      </w:r>
      <w:r w:rsidR="00941376">
        <w:rPr>
          <w:rFonts w:ascii="Times New Roman" w:hAnsi="Times New Roman" w:cs="Times New Roman"/>
          <w:sz w:val="24"/>
          <w:szCs w:val="24"/>
        </w:rPr>
        <w:t xml:space="preserve"> statewide data</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sidR="00030D01">
        <w:rPr>
          <w:rFonts w:ascii="Times New Roman" w:hAnsi="Times New Roman" w:cs="Times New Roman"/>
          <w:sz w:val="24"/>
          <w:szCs w:val="24"/>
        </w:rPr>
        <w:t xml:space="preserve">The Los Angeles-Long Beach </w:t>
      </w:r>
      <w:r w:rsidR="00215622">
        <w:rPr>
          <w:rFonts w:ascii="Times New Roman" w:hAnsi="Times New Roman" w:cs="Times New Roman"/>
          <w:sz w:val="24"/>
          <w:szCs w:val="24"/>
        </w:rPr>
        <w:t>and San Francisco-Oakland-Heyward Metropolitan Areas</w:t>
      </w:r>
      <w:r w:rsidR="00030D01">
        <w:rPr>
          <w:rFonts w:ascii="Times New Roman" w:hAnsi="Times New Roman" w:cs="Times New Roman"/>
          <w:sz w:val="24"/>
          <w:szCs w:val="24"/>
        </w:rPr>
        <w:t xml:space="preserve"> </w:t>
      </w:r>
      <w:r w:rsidR="00C054A0">
        <w:rPr>
          <w:rFonts w:ascii="Times New Roman" w:hAnsi="Times New Roman" w:cs="Times New Roman"/>
          <w:sz w:val="24"/>
          <w:szCs w:val="24"/>
        </w:rPr>
        <w:t xml:space="preserve">were together found to contain </w:t>
      </w:r>
      <w:r w:rsidR="004366BF">
        <w:rPr>
          <w:rFonts w:ascii="Times New Roman" w:hAnsi="Times New Roman" w:cs="Times New Roman"/>
          <w:sz w:val="24"/>
          <w:szCs w:val="24"/>
        </w:rPr>
        <w:t>the greatest number of condo units in California</w:t>
      </w:r>
      <w:r w:rsidR="00C054A0">
        <w:rPr>
          <w:rFonts w:ascii="Times New Roman" w:hAnsi="Times New Roman" w:cs="Times New Roman"/>
          <w:sz w:val="24"/>
          <w:szCs w:val="24"/>
        </w:rPr>
        <w:t>.</w:t>
      </w:r>
    </w:p>
    <w:p w14:paraId="03D92875" w14:textId="3CF1D25E" w:rsidR="0060714A" w:rsidRDefault="0060714A" w:rsidP="00FA487B">
      <w:pPr>
        <w:rPr>
          <w:rFonts w:ascii="Times New Roman" w:hAnsi="Times New Roman" w:cs="Times New Roman"/>
          <w:sz w:val="24"/>
          <w:szCs w:val="24"/>
        </w:rPr>
      </w:pPr>
    </w:p>
    <w:p w14:paraId="40DAE58A" w14:textId="77777777" w:rsidR="0060714A" w:rsidRDefault="0060714A" w:rsidP="0060714A">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24204405" w14:textId="77777777" w:rsidR="0060714A" w:rsidRDefault="0060714A" w:rsidP="00FA487B">
      <w:pPr>
        <w:rPr>
          <w:rFonts w:ascii="Times New Roman" w:hAnsi="Times New Roman" w:cs="Times New Roman"/>
          <w:sz w:val="24"/>
          <w:szCs w:val="24"/>
        </w:rPr>
      </w:pPr>
    </w:p>
    <w:p w14:paraId="1AB894F3" w14:textId="418EF7ED" w:rsidR="00FA487B" w:rsidRDefault="00FA487B" w:rsidP="00FA487B">
      <w:pPr>
        <w:rPr>
          <w:rFonts w:ascii="Times New Roman" w:hAnsi="Times New Roman" w:cs="Times New Roman"/>
          <w:sz w:val="24"/>
          <w:szCs w:val="24"/>
        </w:rPr>
      </w:pPr>
    </w:p>
    <w:p w14:paraId="7600B9D1" w14:textId="77777777" w:rsidR="004829A2" w:rsidRPr="003F109A" w:rsidRDefault="004829A2" w:rsidP="004829A2">
      <w:pPr>
        <w:rPr>
          <w:rFonts w:ascii="Times New Roman" w:hAnsi="Times New Roman" w:cs="Times New Roman"/>
          <w:b/>
          <w:bCs/>
          <w:sz w:val="24"/>
          <w:szCs w:val="24"/>
        </w:rPr>
      </w:pPr>
      <w:r w:rsidRPr="003F109A">
        <w:rPr>
          <w:rFonts w:ascii="Times New Roman" w:hAnsi="Times New Roman" w:cs="Times New Roman"/>
          <w:b/>
          <w:bCs/>
          <w:sz w:val="24"/>
          <w:szCs w:val="24"/>
        </w:rPr>
        <w:t>Data from the American Housing Survey:</w:t>
      </w:r>
    </w:p>
    <w:p w14:paraId="14E57C6B" w14:textId="77777777" w:rsidR="004829A2" w:rsidRPr="003F109A" w:rsidRDefault="004829A2" w:rsidP="004829A2">
      <w:pPr>
        <w:pStyle w:val="ListParagraph"/>
        <w:numPr>
          <w:ilvl w:val="0"/>
          <w:numId w:val="1"/>
        </w:numPr>
        <w:rPr>
          <w:rFonts w:ascii="Times New Roman" w:hAnsi="Times New Roman" w:cs="Times New Roman"/>
          <w:sz w:val="24"/>
          <w:szCs w:val="24"/>
        </w:rPr>
      </w:pPr>
      <w:r w:rsidRPr="003F109A">
        <w:rPr>
          <w:rFonts w:ascii="Times New Roman" w:hAnsi="Times New Roman" w:cs="Times New Roman"/>
          <w:sz w:val="24"/>
          <w:szCs w:val="24"/>
        </w:rPr>
        <w:t>Approximately 67.4% of condos</w:t>
      </w:r>
      <w:r>
        <w:rPr>
          <w:rFonts w:ascii="Times New Roman" w:hAnsi="Times New Roman" w:cs="Times New Roman"/>
          <w:sz w:val="24"/>
          <w:szCs w:val="24"/>
        </w:rPr>
        <w:t xml:space="preserve"> state-wide</w:t>
      </w:r>
      <w:r w:rsidRPr="003F109A">
        <w:rPr>
          <w:rFonts w:ascii="Times New Roman" w:hAnsi="Times New Roman" w:cs="Times New Roman"/>
          <w:sz w:val="24"/>
          <w:szCs w:val="24"/>
        </w:rPr>
        <w:t xml:space="preserve">, or 797,100 </w:t>
      </w:r>
      <w:r>
        <w:rPr>
          <w:rFonts w:ascii="Times New Roman" w:hAnsi="Times New Roman" w:cs="Times New Roman"/>
          <w:sz w:val="24"/>
          <w:szCs w:val="24"/>
        </w:rPr>
        <w:t xml:space="preserve">condo </w:t>
      </w:r>
      <w:r w:rsidRPr="003F109A">
        <w:rPr>
          <w:rFonts w:ascii="Times New Roman" w:hAnsi="Times New Roman" w:cs="Times New Roman"/>
          <w:sz w:val="24"/>
          <w:szCs w:val="24"/>
        </w:rPr>
        <w:t>units</w:t>
      </w:r>
      <w:r>
        <w:rPr>
          <w:rFonts w:ascii="Times New Roman" w:hAnsi="Times New Roman" w:cs="Times New Roman"/>
          <w:sz w:val="24"/>
          <w:szCs w:val="24"/>
        </w:rPr>
        <w:t>,</w:t>
      </w:r>
      <w:r w:rsidRPr="003F109A">
        <w:rPr>
          <w:rFonts w:ascii="Times New Roman" w:hAnsi="Times New Roman" w:cs="Times New Roman"/>
          <w:sz w:val="24"/>
          <w:szCs w:val="24"/>
        </w:rPr>
        <w:t xml:space="preserve"> were built prior to 1990. </w:t>
      </w:r>
    </w:p>
    <w:p w14:paraId="42E2C127" w14:textId="77777777" w:rsidR="004829A2" w:rsidRDefault="004829A2" w:rsidP="004829A2">
      <w:pPr>
        <w:pStyle w:val="ListParagraph"/>
        <w:numPr>
          <w:ilvl w:val="0"/>
          <w:numId w:val="1"/>
        </w:numPr>
        <w:rPr>
          <w:rFonts w:ascii="Times New Roman" w:hAnsi="Times New Roman" w:cs="Times New Roman"/>
          <w:sz w:val="24"/>
          <w:szCs w:val="24"/>
        </w:rPr>
      </w:pPr>
      <w:r w:rsidRPr="003F109A">
        <w:rPr>
          <w:rFonts w:ascii="Times New Roman" w:hAnsi="Times New Roman" w:cs="Times New Roman"/>
          <w:sz w:val="24"/>
          <w:szCs w:val="24"/>
        </w:rPr>
        <w:t>612,700 condo</w:t>
      </w:r>
      <w:r>
        <w:rPr>
          <w:rFonts w:ascii="Times New Roman" w:hAnsi="Times New Roman" w:cs="Times New Roman"/>
          <w:sz w:val="24"/>
          <w:szCs w:val="24"/>
        </w:rPr>
        <w:t xml:space="preserve"> units</w:t>
      </w:r>
      <w:r w:rsidRPr="003F109A">
        <w:rPr>
          <w:rFonts w:ascii="Times New Roman" w:hAnsi="Times New Roman" w:cs="Times New Roman"/>
          <w:sz w:val="24"/>
          <w:szCs w:val="24"/>
        </w:rPr>
        <w:t>, or approximately 51.8% of total</w:t>
      </w:r>
      <w:r>
        <w:rPr>
          <w:rFonts w:ascii="Times New Roman" w:hAnsi="Times New Roman" w:cs="Times New Roman"/>
          <w:sz w:val="24"/>
          <w:szCs w:val="24"/>
        </w:rPr>
        <w:t xml:space="preserve"> condo</w:t>
      </w:r>
      <w:r w:rsidRPr="003F109A">
        <w:rPr>
          <w:rFonts w:ascii="Times New Roman" w:hAnsi="Times New Roman" w:cs="Times New Roman"/>
          <w:sz w:val="24"/>
          <w:szCs w:val="24"/>
        </w:rPr>
        <w:t xml:space="preserve"> units </w:t>
      </w:r>
      <w:r>
        <w:rPr>
          <w:rFonts w:ascii="Times New Roman" w:hAnsi="Times New Roman" w:cs="Times New Roman"/>
          <w:sz w:val="24"/>
          <w:szCs w:val="24"/>
        </w:rPr>
        <w:t xml:space="preserve">statewide, </w:t>
      </w:r>
      <w:r w:rsidRPr="003F109A">
        <w:rPr>
          <w:rFonts w:ascii="Times New Roman" w:hAnsi="Times New Roman" w:cs="Times New Roman"/>
          <w:sz w:val="24"/>
          <w:szCs w:val="24"/>
        </w:rPr>
        <w:t>were reported as being owner-occupied.</w:t>
      </w:r>
    </w:p>
    <w:p w14:paraId="1018DC6C" w14:textId="77777777" w:rsidR="004829A2" w:rsidRDefault="004829A2" w:rsidP="004829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Los Angeles-Long Beach Metropolitan Area, the number of owner-occupied condo units was reported at 231,200, or approximately 53.7% of total condo units.</w:t>
      </w:r>
    </w:p>
    <w:p w14:paraId="24CCDA40" w14:textId="77777777" w:rsidR="004829A2" w:rsidRDefault="004829A2" w:rsidP="004829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128,500 condo units in the San Francisco-Oakland-Heyward were reported as being owner-occupied, which is approximately 61.9% of total condo units.</w:t>
      </w:r>
    </w:p>
    <w:p w14:paraId="24CA0A7A" w14:textId="77777777" w:rsidR="004829A2" w:rsidRDefault="004829A2" w:rsidP="00FA487B">
      <w:pPr>
        <w:rPr>
          <w:rFonts w:ascii="Times New Roman" w:hAnsi="Times New Roman" w:cs="Times New Roman"/>
          <w:sz w:val="24"/>
          <w:szCs w:val="24"/>
        </w:rPr>
      </w:pPr>
    </w:p>
    <w:tbl>
      <w:tblPr>
        <w:tblW w:w="8112" w:type="dxa"/>
        <w:jc w:val="center"/>
        <w:tblCellMar>
          <w:left w:w="0" w:type="dxa"/>
          <w:right w:w="0" w:type="dxa"/>
        </w:tblCellMar>
        <w:tblLook w:val="04A0" w:firstRow="1" w:lastRow="0" w:firstColumn="1" w:lastColumn="0" w:noHBand="0" w:noVBand="1"/>
      </w:tblPr>
      <w:tblGrid>
        <w:gridCol w:w="8245"/>
        <w:gridCol w:w="1105"/>
      </w:tblGrid>
      <w:tr w:rsidR="005F6A39" w:rsidRPr="002E24C9" w14:paraId="4E0255FA" w14:textId="77777777" w:rsidTr="004366BF">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2FD58B62"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Total Condo Units in State</w:t>
            </w:r>
            <w:r w:rsidR="005F6A39">
              <w:rPr>
                <w:rFonts w:eastAsia="Times New Roman" w:cstheme="minorHAnsi"/>
                <w:b/>
                <w:bCs/>
                <w:color w:val="000000"/>
                <w:sz w:val="24"/>
                <w:szCs w:val="24"/>
              </w:rPr>
              <w:t xml:space="preserve"> (Excluding Los Angeles, San Francisco, Anaheim, Oakland, Riverside, Sacramento, San Diego, San Jose)</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4C3CE832" w:rsidR="00FA487B" w:rsidRPr="002E24C9" w:rsidRDefault="00FA487B" w:rsidP="00B7614B">
            <w:pPr>
              <w:jc w:val="right"/>
              <w:rPr>
                <w:rFonts w:eastAsia="Times New Roman" w:cstheme="minorHAnsi"/>
                <w:b/>
                <w:bCs/>
                <w:color w:val="000000"/>
                <w:sz w:val="24"/>
                <w:szCs w:val="24"/>
              </w:rPr>
            </w:pPr>
            <w:r w:rsidRPr="002E24C9">
              <w:rPr>
                <w:rFonts w:eastAsia="Times New Roman" w:cstheme="minorHAnsi"/>
                <w:b/>
                <w:bCs/>
                <w:color w:val="000000"/>
                <w:sz w:val="24"/>
                <w:szCs w:val="24"/>
              </w:rPr>
              <w:t>1,</w:t>
            </w:r>
            <w:r>
              <w:rPr>
                <w:rFonts w:eastAsia="Times New Roman" w:cstheme="minorHAnsi"/>
                <w:b/>
                <w:bCs/>
                <w:color w:val="000000"/>
                <w:sz w:val="24"/>
                <w:szCs w:val="24"/>
              </w:rPr>
              <w:t>182,700</w:t>
            </w:r>
          </w:p>
        </w:tc>
      </w:tr>
      <w:tr w:rsidR="005F6A39" w:rsidRPr="00581DF4" w14:paraId="79228761"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4AA93CC0" w14:textId="26F755B9" w:rsidR="00FA487B" w:rsidRPr="00581DF4" w:rsidRDefault="00C16D3F" w:rsidP="00B7614B">
            <w:pPr>
              <w:rPr>
                <w:rFonts w:eastAsia="Times New Roman" w:cstheme="minorHAnsi"/>
                <w:b/>
                <w:bCs/>
                <w:color w:val="000000"/>
                <w:sz w:val="24"/>
                <w:szCs w:val="24"/>
              </w:rPr>
            </w:pPr>
            <w:r w:rsidRPr="00581DF4">
              <w:rPr>
                <w:rFonts w:eastAsia="Times New Roman" w:cstheme="minorHAnsi"/>
                <w:b/>
                <w:bCs/>
                <w:color w:val="000000"/>
                <w:sz w:val="24"/>
                <w:szCs w:val="24"/>
              </w:rPr>
              <w:t>Metro: Central City</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598C5EED" w14:textId="0A6E8AB1" w:rsidR="00FA487B" w:rsidRPr="00581DF4" w:rsidRDefault="007847A3" w:rsidP="003F109A">
            <w:pPr>
              <w:rPr>
                <w:rFonts w:eastAsia="Times New Roman" w:cstheme="minorHAnsi"/>
                <w:b/>
                <w:bCs/>
                <w:color w:val="000000"/>
                <w:sz w:val="24"/>
                <w:szCs w:val="24"/>
              </w:rPr>
            </w:pPr>
            <w:r w:rsidRPr="00581DF4">
              <w:rPr>
                <w:rFonts w:eastAsia="Times New Roman" w:cstheme="minorHAnsi"/>
                <w:b/>
                <w:bCs/>
                <w:color w:val="000000"/>
                <w:sz w:val="24"/>
                <w:szCs w:val="24"/>
              </w:rPr>
              <w:t xml:space="preserve">                </w:t>
            </w:r>
            <w:r w:rsidR="00C16D3F" w:rsidRPr="00581DF4">
              <w:rPr>
                <w:rFonts w:eastAsia="Times New Roman" w:cstheme="minorHAnsi"/>
                <w:b/>
                <w:bCs/>
                <w:color w:val="000000"/>
                <w:sz w:val="24"/>
                <w:szCs w:val="24"/>
              </w:rPr>
              <w:t>654,100</w:t>
            </w:r>
          </w:p>
        </w:tc>
      </w:tr>
      <w:tr w:rsidR="005F6A39" w:rsidRPr="002E24C9" w14:paraId="3AA9FE8B" w14:textId="77777777" w:rsidTr="004366BF">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A7593A" w14:textId="4AAAE560" w:rsidR="00AE318C" w:rsidRDefault="00AE318C"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16E05C" w14:textId="7BD50D85" w:rsidR="00AE318C" w:rsidRDefault="00AE318C" w:rsidP="00B7614B">
            <w:pPr>
              <w:jc w:val="right"/>
              <w:rPr>
                <w:rFonts w:eastAsia="Times New Roman" w:cstheme="minorHAnsi"/>
                <w:color w:val="000000"/>
                <w:sz w:val="24"/>
                <w:szCs w:val="24"/>
              </w:rPr>
            </w:pPr>
            <w:r>
              <w:rPr>
                <w:rFonts w:eastAsia="Times New Roman" w:cstheme="minorHAnsi"/>
                <w:color w:val="000000"/>
                <w:sz w:val="24"/>
                <w:szCs w:val="24"/>
              </w:rPr>
              <w:t>3</w:t>
            </w:r>
            <w:r w:rsidR="00304724">
              <w:rPr>
                <w:rFonts w:eastAsia="Times New Roman" w:cstheme="minorHAnsi"/>
                <w:color w:val="000000"/>
                <w:sz w:val="24"/>
                <w:szCs w:val="24"/>
              </w:rPr>
              <w:t>33,300</w:t>
            </w:r>
          </w:p>
        </w:tc>
      </w:tr>
      <w:tr w:rsidR="005F6A39" w:rsidRPr="00581DF4" w14:paraId="4173B89D"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3CB099E9" w14:textId="79A05493" w:rsidR="00FA487B" w:rsidRPr="00581DF4" w:rsidRDefault="00C16D3F" w:rsidP="00B7614B">
            <w:pPr>
              <w:rPr>
                <w:rFonts w:eastAsia="Times New Roman" w:cstheme="minorHAnsi"/>
                <w:b/>
                <w:bCs/>
                <w:color w:val="000000"/>
                <w:sz w:val="24"/>
                <w:szCs w:val="24"/>
              </w:rPr>
            </w:pPr>
            <w:r w:rsidRPr="00581DF4">
              <w:rPr>
                <w:rFonts w:eastAsia="Times New Roman" w:cstheme="minorHAnsi"/>
                <w:b/>
                <w:bCs/>
                <w:color w:val="000000"/>
                <w:sz w:val="24"/>
                <w:szCs w:val="24"/>
              </w:rPr>
              <w:lastRenderedPageBreak/>
              <w:t>Metro: Non-Central city</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5E0D5B48" w14:textId="1A952881" w:rsidR="00FA487B" w:rsidRPr="00581DF4" w:rsidRDefault="007847A3" w:rsidP="003F109A">
            <w:pPr>
              <w:rPr>
                <w:rFonts w:eastAsia="Times New Roman" w:cstheme="minorHAnsi"/>
                <w:b/>
                <w:bCs/>
                <w:color w:val="000000"/>
                <w:sz w:val="24"/>
                <w:szCs w:val="24"/>
              </w:rPr>
            </w:pPr>
            <w:r w:rsidRPr="00581DF4">
              <w:rPr>
                <w:rFonts w:eastAsia="Times New Roman" w:cstheme="minorHAnsi"/>
                <w:b/>
                <w:bCs/>
                <w:color w:val="000000"/>
                <w:sz w:val="24"/>
                <w:szCs w:val="24"/>
              </w:rPr>
              <w:t xml:space="preserve">                </w:t>
            </w:r>
            <w:r w:rsidR="00C16D3F" w:rsidRPr="00581DF4">
              <w:rPr>
                <w:rFonts w:eastAsia="Times New Roman" w:cstheme="minorHAnsi"/>
                <w:b/>
                <w:bCs/>
                <w:color w:val="000000"/>
                <w:sz w:val="24"/>
                <w:szCs w:val="24"/>
              </w:rPr>
              <w:t>528,600</w:t>
            </w:r>
          </w:p>
        </w:tc>
      </w:tr>
      <w:tr w:rsidR="005F6A39" w:rsidRPr="002E24C9" w14:paraId="067EA85C" w14:textId="77777777" w:rsidTr="004366BF">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16A2F9A8" w:rsidR="00B204AA" w:rsidRDefault="003F109A" w:rsidP="00B7614B">
            <w:pPr>
              <w:jc w:val="right"/>
              <w:rPr>
                <w:rFonts w:eastAsia="Times New Roman" w:cstheme="minorHAnsi"/>
                <w:color w:val="000000"/>
                <w:sz w:val="24"/>
                <w:szCs w:val="24"/>
              </w:rPr>
            </w:pPr>
            <w:r>
              <w:rPr>
                <w:rFonts w:eastAsia="Times New Roman" w:cstheme="minorHAnsi"/>
                <w:color w:val="000000"/>
                <w:sz w:val="24"/>
                <w:szCs w:val="24"/>
              </w:rPr>
              <w:t>279,300</w:t>
            </w:r>
          </w:p>
        </w:tc>
      </w:tr>
      <w:tr w:rsidR="005F6A39" w:rsidRPr="003F3CFC" w14:paraId="25F0D9AA"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2BBE9DF5" w:rsidR="00ED2ED3" w:rsidRPr="003F3CFC" w:rsidRDefault="00591DA5" w:rsidP="00B7614B">
            <w:pPr>
              <w:rPr>
                <w:rFonts w:eastAsia="Times New Roman" w:cstheme="minorHAnsi"/>
                <w:b/>
                <w:bCs/>
                <w:color w:val="000000"/>
                <w:sz w:val="24"/>
                <w:szCs w:val="24"/>
              </w:rPr>
            </w:pPr>
            <w:r w:rsidRPr="003F3CFC">
              <w:rPr>
                <w:rFonts w:eastAsia="Times New Roman" w:cstheme="minorHAnsi"/>
                <w:b/>
                <w:bCs/>
                <w:color w:val="000000"/>
                <w:sz w:val="24"/>
                <w:szCs w:val="24"/>
              </w:rPr>
              <w:t>Los</w:t>
            </w:r>
            <w:r w:rsidR="00487583" w:rsidRPr="003F3CFC">
              <w:rPr>
                <w:rFonts w:eastAsia="Times New Roman" w:cstheme="minorHAnsi"/>
                <w:b/>
                <w:bCs/>
                <w:color w:val="000000"/>
                <w:sz w:val="24"/>
                <w:szCs w:val="24"/>
              </w:rPr>
              <w:t xml:space="preserve"> Angeles-Long Beach &amp; San Francisco Condo Units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122446AD" w:rsidR="00ED2ED3" w:rsidRPr="003F3CFC" w:rsidRDefault="003F3CFC" w:rsidP="00B7614B">
            <w:pPr>
              <w:jc w:val="right"/>
              <w:rPr>
                <w:rFonts w:eastAsia="Times New Roman" w:cstheme="minorHAnsi"/>
                <w:b/>
                <w:bCs/>
                <w:color w:val="000000"/>
                <w:sz w:val="24"/>
                <w:szCs w:val="24"/>
              </w:rPr>
            </w:pPr>
            <w:r w:rsidRPr="003F3CFC">
              <w:rPr>
                <w:rFonts w:eastAsia="Times New Roman" w:cstheme="minorHAnsi"/>
                <w:b/>
                <w:bCs/>
                <w:color w:val="000000"/>
                <w:sz w:val="24"/>
                <w:szCs w:val="24"/>
              </w:rPr>
              <w:t>637,400</w:t>
            </w:r>
          </w:p>
        </w:tc>
      </w:tr>
      <w:tr w:rsidR="005F6A39" w:rsidRPr="002E24C9" w14:paraId="399BEE60"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7E63E1C" w14:textId="77777777" w:rsidR="003F3CFC" w:rsidRDefault="003F3CFC" w:rsidP="0013264A">
            <w:pPr>
              <w:rPr>
                <w:rFonts w:eastAsia="Times New Roman" w:cstheme="minorHAnsi"/>
                <w:color w:val="000000"/>
                <w:sz w:val="24"/>
                <w:szCs w:val="24"/>
              </w:rPr>
            </w:pPr>
            <w:r>
              <w:rPr>
                <w:rFonts w:eastAsia="Times New Roman" w:cstheme="minorHAnsi"/>
                <w:color w:val="000000"/>
                <w:sz w:val="24"/>
                <w:szCs w:val="24"/>
              </w:rPr>
              <w:t>Los Angeles-Long Beach Condo Units</w:t>
            </w:r>
          </w:p>
        </w:tc>
        <w:tc>
          <w:tcPr>
            <w:tcW w:w="17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6E9923D" w14:textId="77777777" w:rsidR="003F3CFC" w:rsidRDefault="003F3CFC" w:rsidP="0013264A">
            <w:pPr>
              <w:jc w:val="right"/>
              <w:rPr>
                <w:rFonts w:eastAsia="Times New Roman" w:cstheme="minorHAnsi"/>
                <w:color w:val="000000"/>
                <w:sz w:val="24"/>
                <w:szCs w:val="24"/>
              </w:rPr>
            </w:pPr>
            <w:r>
              <w:rPr>
                <w:rFonts w:eastAsia="Times New Roman" w:cstheme="minorHAnsi"/>
                <w:color w:val="000000"/>
                <w:sz w:val="24"/>
                <w:szCs w:val="24"/>
              </w:rPr>
              <w:t>430,000</w:t>
            </w:r>
          </w:p>
        </w:tc>
      </w:tr>
      <w:tr w:rsidR="005F6A39" w:rsidRPr="002E24C9" w14:paraId="2BDE8E79"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9BE11BF" w14:textId="17CA3B16" w:rsidR="003F3CFC" w:rsidRDefault="003F3CFC" w:rsidP="0013264A">
            <w:pPr>
              <w:rPr>
                <w:rFonts w:eastAsia="Times New Roman" w:cstheme="minorHAnsi"/>
                <w:color w:val="000000"/>
                <w:sz w:val="24"/>
                <w:szCs w:val="24"/>
              </w:rPr>
            </w:pPr>
            <w:r>
              <w:rPr>
                <w:rFonts w:eastAsia="Times New Roman" w:cstheme="minorHAnsi"/>
                <w:color w:val="000000"/>
                <w:sz w:val="24"/>
                <w:szCs w:val="24"/>
              </w:rPr>
              <w:t>San Francisco</w:t>
            </w:r>
            <w:r w:rsidR="00215622">
              <w:rPr>
                <w:rFonts w:eastAsia="Times New Roman" w:cstheme="minorHAnsi"/>
                <w:color w:val="000000"/>
                <w:sz w:val="24"/>
                <w:szCs w:val="24"/>
              </w:rPr>
              <w:t>-Oakland-Heyward</w:t>
            </w:r>
            <w:r>
              <w:rPr>
                <w:rFonts w:eastAsia="Times New Roman" w:cstheme="minorHAnsi"/>
                <w:color w:val="000000"/>
                <w:sz w:val="24"/>
                <w:szCs w:val="24"/>
              </w:rPr>
              <w:t xml:space="preserve"> Condo Units</w:t>
            </w:r>
          </w:p>
        </w:tc>
        <w:tc>
          <w:tcPr>
            <w:tcW w:w="17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BBBBA15" w14:textId="77777777" w:rsidR="003F3CFC" w:rsidRDefault="003F3CFC" w:rsidP="0013264A">
            <w:pPr>
              <w:jc w:val="right"/>
              <w:rPr>
                <w:rFonts w:eastAsia="Times New Roman" w:cstheme="minorHAnsi"/>
                <w:color w:val="000000"/>
                <w:sz w:val="24"/>
                <w:szCs w:val="24"/>
              </w:rPr>
            </w:pPr>
            <w:r>
              <w:rPr>
                <w:rFonts w:eastAsia="Times New Roman" w:cstheme="minorHAnsi"/>
                <w:color w:val="000000"/>
                <w:sz w:val="24"/>
                <w:szCs w:val="24"/>
              </w:rPr>
              <w:t>207,400</w:t>
            </w:r>
          </w:p>
        </w:tc>
      </w:tr>
      <w:tr w:rsidR="005F6A39" w:rsidRPr="00367C1D" w14:paraId="15F2CF42"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0592905" w14:textId="57812090" w:rsidR="00831EB1" w:rsidRPr="00367C1D" w:rsidRDefault="00367C1D" w:rsidP="00B7614B">
            <w:pPr>
              <w:rPr>
                <w:rFonts w:eastAsia="Times New Roman" w:cstheme="minorHAnsi"/>
                <w:b/>
                <w:bCs/>
                <w:color w:val="000000"/>
                <w:sz w:val="24"/>
                <w:szCs w:val="24"/>
              </w:rPr>
            </w:pPr>
            <w:r w:rsidRPr="00367C1D">
              <w:rPr>
                <w:rFonts w:eastAsia="Times New Roman" w:cstheme="minorHAnsi"/>
                <w:b/>
                <w:bCs/>
                <w:color w:val="000000"/>
                <w:sz w:val="24"/>
                <w:szCs w:val="24"/>
              </w:rPr>
              <w:t>Other Metropolitan Areas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27878B2C" w14:textId="77777777" w:rsidR="00831EB1" w:rsidRPr="00367C1D" w:rsidRDefault="00831EB1" w:rsidP="00B7614B">
            <w:pPr>
              <w:jc w:val="right"/>
              <w:rPr>
                <w:rFonts w:eastAsia="Times New Roman" w:cstheme="minorHAnsi"/>
                <w:b/>
                <w:bCs/>
                <w:color w:val="000000"/>
                <w:sz w:val="24"/>
                <w:szCs w:val="24"/>
              </w:rPr>
            </w:pPr>
          </w:p>
        </w:tc>
      </w:tr>
      <w:tr w:rsidR="005F6A39" w:rsidRPr="002E24C9" w14:paraId="457428E8"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0B3D2B5" w14:textId="77777777" w:rsidR="003F3CFC" w:rsidRDefault="003F3CFC" w:rsidP="0013264A">
            <w:pPr>
              <w:rPr>
                <w:rFonts w:eastAsia="Times New Roman" w:cstheme="minorHAnsi"/>
                <w:color w:val="000000"/>
                <w:sz w:val="24"/>
                <w:szCs w:val="24"/>
              </w:rPr>
            </w:pPr>
            <w:r>
              <w:rPr>
                <w:rFonts w:eastAsia="Times New Roman" w:cstheme="minorHAnsi"/>
                <w:color w:val="000000"/>
                <w:sz w:val="24"/>
                <w:szCs w:val="24"/>
              </w:rPr>
              <w:t>Anaheim-Santa Ana Condo Units (2011 estimate)</w:t>
            </w:r>
          </w:p>
        </w:tc>
        <w:tc>
          <w:tcPr>
            <w:tcW w:w="17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DA747A3" w14:textId="77777777" w:rsidR="003F3CFC" w:rsidRDefault="003F3CFC" w:rsidP="0013264A">
            <w:pPr>
              <w:jc w:val="right"/>
              <w:rPr>
                <w:rFonts w:eastAsia="Times New Roman" w:cstheme="minorHAnsi"/>
                <w:color w:val="000000"/>
                <w:sz w:val="24"/>
                <w:szCs w:val="24"/>
              </w:rPr>
            </w:pPr>
            <w:r>
              <w:rPr>
                <w:rFonts w:eastAsia="Times New Roman" w:cstheme="minorHAnsi"/>
                <w:color w:val="000000"/>
                <w:sz w:val="24"/>
                <w:szCs w:val="24"/>
              </w:rPr>
              <w:t>187,200</w:t>
            </w:r>
          </w:p>
        </w:tc>
      </w:tr>
      <w:tr w:rsidR="005F6A39" w:rsidRPr="002E24C9" w14:paraId="4AF99D6E"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F97175B" w14:textId="646D50BC" w:rsidR="005D6101" w:rsidRDefault="00235C5B" w:rsidP="00B7614B">
            <w:pPr>
              <w:rPr>
                <w:rFonts w:eastAsia="Times New Roman" w:cstheme="minorHAnsi"/>
                <w:color w:val="000000"/>
                <w:sz w:val="24"/>
                <w:szCs w:val="24"/>
              </w:rPr>
            </w:pPr>
            <w:r>
              <w:rPr>
                <w:rFonts w:eastAsia="Times New Roman" w:cstheme="minorHAnsi"/>
                <w:color w:val="000000"/>
                <w:sz w:val="24"/>
                <w:szCs w:val="24"/>
              </w:rPr>
              <w:t>Oakland</w:t>
            </w:r>
            <w:r w:rsidR="0095544E">
              <w:rPr>
                <w:rFonts w:eastAsia="Times New Roman" w:cstheme="minorHAnsi"/>
                <w:color w:val="000000"/>
                <w:sz w:val="24"/>
                <w:szCs w:val="24"/>
              </w:rPr>
              <w:t>-Fremont-Heyward</w:t>
            </w:r>
            <w:r>
              <w:rPr>
                <w:rFonts w:eastAsia="Times New Roman" w:cstheme="minorHAnsi"/>
                <w:color w:val="000000"/>
                <w:sz w:val="24"/>
                <w:szCs w:val="24"/>
              </w:rPr>
              <w:t xml:space="preserve"> Condo Units</w:t>
            </w:r>
            <w:r w:rsidR="004E6E89">
              <w:rPr>
                <w:rFonts w:eastAsia="Times New Roman" w:cstheme="minorHAnsi"/>
                <w:color w:val="000000"/>
                <w:sz w:val="24"/>
                <w:szCs w:val="24"/>
              </w:rPr>
              <w:t xml:space="preserve"> (2011 estimate)</w:t>
            </w:r>
          </w:p>
        </w:tc>
        <w:tc>
          <w:tcPr>
            <w:tcW w:w="17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26800F5" w14:textId="79FEF63F" w:rsidR="005D6101" w:rsidRDefault="00235C5B" w:rsidP="00B7614B">
            <w:pPr>
              <w:jc w:val="right"/>
              <w:rPr>
                <w:rFonts w:eastAsia="Times New Roman" w:cstheme="minorHAnsi"/>
                <w:color w:val="000000"/>
                <w:sz w:val="24"/>
                <w:szCs w:val="24"/>
              </w:rPr>
            </w:pPr>
            <w:r>
              <w:rPr>
                <w:rFonts w:eastAsia="Times New Roman" w:cstheme="minorHAnsi"/>
                <w:color w:val="000000"/>
                <w:sz w:val="24"/>
                <w:szCs w:val="24"/>
              </w:rPr>
              <w:t>95</w:t>
            </w:r>
            <w:r w:rsidR="00EC6F64">
              <w:rPr>
                <w:rFonts w:eastAsia="Times New Roman" w:cstheme="minorHAnsi"/>
                <w:color w:val="000000"/>
                <w:sz w:val="24"/>
                <w:szCs w:val="24"/>
              </w:rPr>
              <w:t>,</w:t>
            </w:r>
            <w:r w:rsidR="004E6E89">
              <w:rPr>
                <w:rFonts w:eastAsia="Times New Roman" w:cstheme="minorHAnsi"/>
                <w:color w:val="000000"/>
                <w:sz w:val="24"/>
                <w:szCs w:val="24"/>
              </w:rPr>
              <w:t>6</w:t>
            </w:r>
            <w:r w:rsidR="00EC6F64">
              <w:rPr>
                <w:rFonts w:eastAsia="Times New Roman" w:cstheme="minorHAnsi"/>
                <w:color w:val="000000"/>
                <w:sz w:val="24"/>
                <w:szCs w:val="24"/>
              </w:rPr>
              <w:t>00</w:t>
            </w:r>
          </w:p>
        </w:tc>
      </w:tr>
      <w:tr w:rsidR="005F6A39" w:rsidRPr="002E24C9" w14:paraId="25D45F88"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BF4F9D3" w14:textId="72D327DD" w:rsidR="00EC6F64" w:rsidRDefault="00CF0644" w:rsidP="00B7614B">
            <w:pPr>
              <w:rPr>
                <w:rFonts w:eastAsia="Times New Roman" w:cstheme="minorHAnsi"/>
                <w:color w:val="000000"/>
                <w:sz w:val="24"/>
                <w:szCs w:val="24"/>
              </w:rPr>
            </w:pPr>
            <w:r>
              <w:rPr>
                <w:rFonts w:eastAsia="Times New Roman" w:cstheme="minorHAnsi"/>
                <w:color w:val="000000"/>
                <w:sz w:val="24"/>
                <w:szCs w:val="24"/>
              </w:rPr>
              <w:t xml:space="preserve">Riverside-San Bernadino </w:t>
            </w:r>
            <w:r w:rsidR="003C6EED">
              <w:rPr>
                <w:rFonts w:eastAsia="Times New Roman" w:cstheme="minorHAnsi"/>
                <w:color w:val="000000"/>
                <w:sz w:val="24"/>
                <w:szCs w:val="24"/>
              </w:rPr>
              <w:t>Condo Units</w:t>
            </w:r>
          </w:p>
        </w:tc>
        <w:tc>
          <w:tcPr>
            <w:tcW w:w="17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020CFE6" w14:textId="3B2325C7" w:rsidR="00EC6F64" w:rsidRDefault="003C6EED" w:rsidP="00B7614B">
            <w:pPr>
              <w:jc w:val="right"/>
              <w:rPr>
                <w:rFonts w:eastAsia="Times New Roman" w:cstheme="minorHAnsi"/>
                <w:color w:val="000000"/>
                <w:sz w:val="24"/>
                <w:szCs w:val="24"/>
              </w:rPr>
            </w:pPr>
            <w:r>
              <w:rPr>
                <w:rFonts w:eastAsia="Times New Roman" w:cstheme="minorHAnsi"/>
                <w:color w:val="000000"/>
                <w:sz w:val="24"/>
                <w:szCs w:val="24"/>
              </w:rPr>
              <w:t>83,600</w:t>
            </w:r>
          </w:p>
        </w:tc>
      </w:tr>
      <w:tr w:rsidR="005F6A39" w:rsidRPr="002E24C9" w14:paraId="28688069"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093D5B2" w14:textId="049487F1" w:rsidR="003C6EED" w:rsidRDefault="00954AB8" w:rsidP="00B7614B">
            <w:pPr>
              <w:rPr>
                <w:rFonts w:eastAsia="Times New Roman" w:cstheme="minorHAnsi"/>
                <w:color w:val="000000"/>
                <w:sz w:val="24"/>
                <w:szCs w:val="24"/>
              </w:rPr>
            </w:pPr>
            <w:r>
              <w:rPr>
                <w:rFonts w:eastAsia="Times New Roman" w:cstheme="minorHAnsi"/>
                <w:color w:val="000000"/>
                <w:sz w:val="24"/>
                <w:szCs w:val="24"/>
              </w:rPr>
              <w:t>Sacramento</w:t>
            </w:r>
            <w:r w:rsidR="00503859">
              <w:rPr>
                <w:rFonts w:eastAsia="Times New Roman" w:cstheme="minorHAnsi"/>
                <w:color w:val="000000"/>
                <w:sz w:val="24"/>
                <w:szCs w:val="24"/>
              </w:rPr>
              <w:t>-Arden-Arcade-Roseville</w:t>
            </w:r>
            <w:r>
              <w:rPr>
                <w:rFonts w:eastAsia="Times New Roman" w:cstheme="minorHAnsi"/>
                <w:color w:val="000000"/>
                <w:sz w:val="24"/>
                <w:szCs w:val="24"/>
              </w:rPr>
              <w:t xml:space="preserve"> Condo Units (2011 estimate)</w:t>
            </w:r>
          </w:p>
        </w:tc>
        <w:tc>
          <w:tcPr>
            <w:tcW w:w="17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279DEE3" w14:textId="2F1F0037" w:rsidR="003C6EED" w:rsidRDefault="00C161B4" w:rsidP="00B7614B">
            <w:pPr>
              <w:jc w:val="right"/>
              <w:rPr>
                <w:rFonts w:eastAsia="Times New Roman" w:cstheme="minorHAnsi"/>
                <w:color w:val="000000"/>
                <w:sz w:val="24"/>
                <w:szCs w:val="24"/>
              </w:rPr>
            </w:pPr>
            <w:r>
              <w:rPr>
                <w:rFonts w:eastAsia="Times New Roman" w:cstheme="minorHAnsi"/>
                <w:color w:val="000000"/>
                <w:sz w:val="24"/>
                <w:szCs w:val="24"/>
              </w:rPr>
              <w:t>33,900</w:t>
            </w:r>
          </w:p>
        </w:tc>
      </w:tr>
      <w:tr w:rsidR="005F6A39" w:rsidRPr="002E24C9" w14:paraId="38582F0C"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25BDB10" w14:textId="26827658" w:rsidR="00C161B4" w:rsidRDefault="006C4FFB" w:rsidP="00B7614B">
            <w:pPr>
              <w:rPr>
                <w:rFonts w:eastAsia="Times New Roman" w:cstheme="minorHAnsi"/>
                <w:color w:val="000000"/>
                <w:sz w:val="24"/>
                <w:szCs w:val="24"/>
              </w:rPr>
            </w:pPr>
            <w:r>
              <w:rPr>
                <w:rFonts w:eastAsia="Times New Roman" w:cstheme="minorHAnsi"/>
                <w:color w:val="000000"/>
                <w:sz w:val="24"/>
                <w:szCs w:val="24"/>
              </w:rPr>
              <w:t>San Diego Condo Units (2011 estimate)</w:t>
            </w:r>
          </w:p>
        </w:tc>
        <w:tc>
          <w:tcPr>
            <w:tcW w:w="17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8EFF35E" w14:textId="5A2845E2" w:rsidR="00C161B4" w:rsidRDefault="006C4FFB" w:rsidP="00B7614B">
            <w:pPr>
              <w:jc w:val="right"/>
              <w:rPr>
                <w:rFonts w:eastAsia="Times New Roman" w:cstheme="minorHAnsi"/>
                <w:color w:val="000000"/>
                <w:sz w:val="24"/>
                <w:szCs w:val="24"/>
              </w:rPr>
            </w:pPr>
            <w:r>
              <w:rPr>
                <w:rFonts w:eastAsia="Times New Roman" w:cstheme="minorHAnsi"/>
                <w:color w:val="000000"/>
                <w:sz w:val="24"/>
                <w:szCs w:val="24"/>
              </w:rPr>
              <w:t>185,000</w:t>
            </w:r>
          </w:p>
        </w:tc>
      </w:tr>
      <w:tr w:rsidR="005F6A39" w:rsidRPr="002E24C9" w14:paraId="5C551FF8"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42F1D9F" w14:textId="3D4260CD" w:rsidR="00C5123C" w:rsidRDefault="00C5123C" w:rsidP="00B7614B">
            <w:pPr>
              <w:rPr>
                <w:rFonts w:eastAsia="Times New Roman" w:cstheme="minorHAnsi"/>
                <w:color w:val="000000"/>
                <w:sz w:val="24"/>
                <w:szCs w:val="24"/>
              </w:rPr>
            </w:pPr>
            <w:r>
              <w:rPr>
                <w:rFonts w:eastAsia="Times New Roman" w:cstheme="minorHAnsi"/>
                <w:color w:val="000000"/>
                <w:sz w:val="24"/>
                <w:szCs w:val="24"/>
              </w:rPr>
              <w:t>San Jose</w:t>
            </w:r>
            <w:r w:rsidR="005538ED">
              <w:rPr>
                <w:rFonts w:eastAsia="Times New Roman" w:cstheme="minorHAnsi"/>
                <w:color w:val="000000"/>
                <w:sz w:val="24"/>
                <w:szCs w:val="24"/>
              </w:rPr>
              <w:t>-Sunnyvale-Santa</w:t>
            </w:r>
            <w:r w:rsidR="00A339C9">
              <w:rPr>
                <w:rFonts w:eastAsia="Times New Roman" w:cstheme="minorHAnsi"/>
                <w:color w:val="000000"/>
                <w:sz w:val="24"/>
                <w:szCs w:val="24"/>
              </w:rPr>
              <w:t xml:space="preserve"> Clara</w:t>
            </w:r>
            <w:r>
              <w:rPr>
                <w:rFonts w:eastAsia="Times New Roman" w:cstheme="minorHAnsi"/>
                <w:color w:val="000000"/>
                <w:sz w:val="24"/>
                <w:szCs w:val="24"/>
              </w:rPr>
              <w:t xml:space="preserve"> Condo Units (2017 estimate)</w:t>
            </w:r>
          </w:p>
        </w:tc>
        <w:tc>
          <w:tcPr>
            <w:tcW w:w="17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E902E82" w14:textId="31EB9B1A" w:rsidR="00C5123C" w:rsidRDefault="00ED2ED3" w:rsidP="00B7614B">
            <w:pPr>
              <w:jc w:val="right"/>
              <w:rPr>
                <w:rFonts w:eastAsia="Times New Roman" w:cstheme="minorHAnsi"/>
                <w:color w:val="000000"/>
                <w:sz w:val="24"/>
                <w:szCs w:val="24"/>
              </w:rPr>
            </w:pPr>
            <w:r>
              <w:rPr>
                <w:rFonts w:eastAsia="Times New Roman" w:cstheme="minorHAnsi"/>
                <w:color w:val="000000"/>
                <w:sz w:val="24"/>
                <w:szCs w:val="24"/>
              </w:rPr>
              <w:t>70,000</w:t>
            </w:r>
          </w:p>
        </w:tc>
      </w:tr>
      <w:tr w:rsidR="005F6A39" w:rsidRPr="002E24C9" w14:paraId="3199ECE5" w14:textId="77777777" w:rsidTr="004366BF">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1704BDA9" w14:textId="2B1FD31E"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w:t>
            </w:r>
            <w:r w:rsidR="00C16D3F">
              <w:rPr>
                <w:rFonts w:eastAsia="Times New Roman" w:cstheme="minorHAnsi"/>
                <w:b/>
                <w:bCs/>
                <w:color w:val="000000"/>
                <w:sz w:val="24"/>
                <w:szCs w:val="24"/>
              </w:rPr>
              <w:t>Members of Condo Associations</w:t>
            </w:r>
            <w:r w:rsidR="00EC6F64">
              <w:rPr>
                <w:rFonts w:eastAsia="Times New Roman" w:cstheme="minorHAnsi"/>
                <w:b/>
                <w:bCs/>
                <w:color w:val="000000"/>
                <w:sz w:val="24"/>
                <w:szCs w:val="24"/>
              </w:rPr>
              <w:t xml:space="preserve"> in State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hideMark/>
          </w:tcPr>
          <w:p w14:paraId="2BECAC47" w14:textId="3D5719FE" w:rsidR="00FA487B" w:rsidRPr="002E24C9" w:rsidRDefault="001218F3" w:rsidP="00B7614B">
            <w:pPr>
              <w:jc w:val="right"/>
              <w:rPr>
                <w:rFonts w:eastAsia="Times New Roman" w:cstheme="minorHAnsi"/>
                <w:b/>
                <w:bCs/>
                <w:color w:val="000000"/>
                <w:sz w:val="24"/>
                <w:szCs w:val="24"/>
              </w:rPr>
            </w:pPr>
            <w:r>
              <w:rPr>
                <w:rFonts w:eastAsia="Times New Roman" w:cstheme="minorHAnsi"/>
                <w:b/>
                <w:bCs/>
                <w:color w:val="000000"/>
                <w:sz w:val="24"/>
                <w:szCs w:val="24"/>
              </w:rPr>
              <w:t>254,100</w:t>
            </w:r>
          </w:p>
        </w:tc>
      </w:tr>
      <w:tr w:rsidR="005F6A39" w:rsidRPr="002E24C9" w14:paraId="410E695E" w14:textId="77777777" w:rsidTr="004366BF">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21E381" w14:textId="319FF400" w:rsidR="00FA487B" w:rsidRPr="002E24C9" w:rsidRDefault="001218F3" w:rsidP="00B7614B">
            <w:pPr>
              <w:rPr>
                <w:rFonts w:eastAsia="Times New Roman" w:cstheme="minorHAnsi"/>
                <w:color w:val="000000"/>
                <w:sz w:val="24"/>
                <w:szCs w:val="24"/>
              </w:rPr>
            </w:pPr>
            <w:r>
              <w:rPr>
                <w:rFonts w:eastAsia="Times New Roman" w:cstheme="minorHAnsi"/>
                <w:color w:val="000000"/>
                <w:sz w:val="24"/>
                <w:szCs w:val="24"/>
              </w:rPr>
              <w:t>Member of Condo Association and HOA</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21D5A9" w14:textId="6995E99E" w:rsidR="00FA487B" w:rsidRPr="002E24C9" w:rsidRDefault="001218F3" w:rsidP="00B7614B">
            <w:pPr>
              <w:jc w:val="right"/>
              <w:rPr>
                <w:rFonts w:eastAsia="Times New Roman" w:cstheme="minorHAnsi"/>
                <w:color w:val="000000"/>
                <w:sz w:val="24"/>
                <w:szCs w:val="24"/>
              </w:rPr>
            </w:pPr>
            <w:r>
              <w:rPr>
                <w:rFonts w:eastAsia="Times New Roman" w:cstheme="minorHAnsi"/>
                <w:color w:val="000000"/>
                <w:sz w:val="24"/>
                <w:szCs w:val="24"/>
              </w:rPr>
              <w:t>896,500</w:t>
            </w:r>
          </w:p>
        </w:tc>
      </w:tr>
    </w:tbl>
    <w:p w14:paraId="7598D717" w14:textId="48AC1440" w:rsidR="00FA487B" w:rsidRDefault="00FA487B" w:rsidP="00FA487B">
      <w:pPr>
        <w:rPr>
          <w:rFonts w:ascii="Times New Roman" w:hAnsi="Times New Roman" w:cs="Times New Roman"/>
          <w:sz w:val="24"/>
          <w:szCs w:val="24"/>
        </w:rPr>
      </w:pPr>
    </w:p>
    <w:p w14:paraId="0C91AA3A" w14:textId="5C84FE5F" w:rsidR="004E0E32" w:rsidRDefault="004E0E32" w:rsidP="00FA487B">
      <w:pPr>
        <w:rPr>
          <w:rFonts w:ascii="Times New Roman" w:hAnsi="Times New Roman" w:cs="Times New Roman"/>
          <w:sz w:val="24"/>
          <w:szCs w:val="24"/>
        </w:rPr>
      </w:pPr>
    </w:p>
    <w:p w14:paraId="7D515328" w14:textId="77777777" w:rsidR="00AD6EA4" w:rsidRPr="00AD6EA4" w:rsidRDefault="00AD6EA4" w:rsidP="00AD6EA4">
      <w:pPr>
        <w:pStyle w:val="ListParagraph"/>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AD6EA4" w:rsidRPr="00AD6EA4" w14:paraId="7D33935E" w14:textId="77777777" w:rsidTr="003E073C">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0593410F" w14:textId="77777777" w:rsidR="00AD6EA4" w:rsidRPr="00AD6EA4" w:rsidRDefault="00AD6EA4" w:rsidP="00AD6EA4">
            <w:pPr>
              <w:spacing w:after="0" w:line="240" w:lineRule="auto"/>
              <w:jc w:val="center"/>
              <w:rPr>
                <w:rFonts w:ascii="Helvetica" w:eastAsia="Times New Roman" w:hAnsi="Helvetica" w:cs="Helvetica"/>
                <w:color w:val="000000"/>
                <w:sz w:val="25"/>
                <w:szCs w:val="25"/>
              </w:rPr>
            </w:pPr>
            <w:r w:rsidRPr="00AD6EA4">
              <w:rPr>
                <w:rFonts w:ascii="Helvetica" w:eastAsia="Times New Roman" w:hAnsi="Helvetica" w:cs="Helvetica"/>
                <w:color w:val="000000"/>
                <w:sz w:val="25"/>
                <w:szCs w:val="25"/>
              </w:rPr>
              <w:t>2019 California - Housing Costs - All Occupied Units</w:t>
            </w:r>
          </w:p>
        </w:tc>
      </w:tr>
      <w:tr w:rsidR="00AD6EA4" w:rsidRPr="00AD6EA4" w14:paraId="080C8DEE" w14:textId="77777777" w:rsidTr="003E073C">
        <w:trPr>
          <w:trHeight w:val="381"/>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EA982D2" w14:textId="77777777" w:rsidR="00AD6EA4" w:rsidRPr="00AD6EA4" w:rsidRDefault="00AD6EA4" w:rsidP="00AD6EA4">
            <w:pPr>
              <w:spacing w:after="0" w:line="240" w:lineRule="auto"/>
              <w:rPr>
                <w:rFonts w:ascii="Helvetica" w:eastAsia="Times New Roman" w:hAnsi="Helvetica" w:cs="Helvetica"/>
                <w:b/>
                <w:bCs/>
                <w:color w:val="000000"/>
                <w:sz w:val="25"/>
                <w:szCs w:val="25"/>
              </w:rPr>
            </w:pPr>
            <w:r w:rsidRPr="00AD6EA4">
              <w:rPr>
                <w:rFonts w:ascii="Helvetica" w:eastAsia="Times New Roman" w:hAnsi="Helvetica" w:cs="Helvetica"/>
                <w:b/>
                <w:bCs/>
                <w:color w:val="000000"/>
                <w:sz w:val="25"/>
                <w:szCs w:val="25"/>
              </w:rPr>
              <w:t xml:space="preserve"> </w:t>
            </w:r>
          </w:p>
        </w:tc>
      </w:tr>
      <w:tr w:rsidR="00AD6EA4" w:rsidRPr="00AD6EA4" w14:paraId="735BDD28" w14:textId="77777777" w:rsidTr="003E073C">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4AD9C8E" w14:textId="77777777" w:rsidR="00AD6EA4" w:rsidRPr="00AD6EA4" w:rsidRDefault="00AD6EA4" w:rsidP="00AD6EA4">
            <w:pPr>
              <w:spacing w:after="0" w:line="240" w:lineRule="auto"/>
              <w:rPr>
                <w:rFonts w:ascii="Helvetica" w:eastAsia="Times New Roman" w:hAnsi="Helvetica" w:cs="Helvetica"/>
                <w:b/>
                <w:bCs/>
                <w:color w:val="000000"/>
                <w:sz w:val="16"/>
                <w:szCs w:val="16"/>
              </w:rPr>
            </w:pPr>
            <w:r w:rsidRPr="00AD6EA4">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AD6EA4" w:rsidRPr="00AD6EA4" w14:paraId="0AA82D80" w14:textId="77777777" w:rsidTr="003E073C">
        <w:trPr>
          <w:trHeight w:val="279"/>
          <w:jc w:val="center"/>
        </w:trPr>
        <w:tc>
          <w:tcPr>
            <w:tcW w:w="10600" w:type="dxa"/>
            <w:gridSpan w:val="2"/>
            <w:tcBorders>
              <w:top w:val="nil"/>
              <w:left w:val="single" w:sz="4" w:space="0" w:color="auto"/>
              <w:bottom w:val="single" w:sz="4" w:space="0" w:color="auto"/>
              <w:right w:val="single" w:sz="4" w:space="0" w:color="auto"/>
            </w:tcBorders>
            <w:shd w:val="clear" w:color="000000" w:fill="FFFFFF"/>
            <w:vAlign w:val="bottom"/>
            <w:hideMark/>
          </w:tcPr>
          <w:p w14:paraId="2640451D" w14:textId="77777777" w:rsidR="00AD6EA4" w:rsidRPr="00AD6EA4" w:rsidRDefault="005F6A39" w:rsidP="00AD6EA4">
            <w:pPr>
              <w:spacing w:after="0" w:line="240" w:lineRule="auto"/>
              <w:jc w:val="center"/>
              <w:rPr>
                <w:rFonts w:ascii="Helvetica" w:eastAsia="Times New Roman" w:hAnsi="Helvetica" w:cs="Helvetica"/>
                <w:b/>
                <w:bCs/>
                <w:color w:val="0000FF"/>
                <w:sz w:val="18"/>
                <w:szCs w:val="18"/>
                <w:u w:val="single"/>
              </w:rPr>
            </w:pPr>
            <w:hyperlink r:id="rId11" w:history="1">
              <w:r w:rsidR="00AD6EA4" w:rsidRPr="00AD6EA4">
                <w:rPr>
                  <w:rFonts w:ascii="Helvetica" w:eastAsia="Times New Roman" w:hAnsi="Helvetica" w:cs="Helvetica"/>
                  <w:b/>
                  <w:bCs/>
                  <w:color w:val="0000FF"/>
                  <w:sz w:val="18"/>
                  <w:szCs w:val="18"/>
                  <w:u w:val="single"/>
                </w:rPr>
                <w:t>Subject Definitions</w:t>
              </w:r>
            </w:hyperlink>
          </w:p>
        </w:tc>
      </w:tr>
      <w:tr w:rsidR="00AD6EA4" w:rsidRPr="00AD6EA4" w14:paraId="0D80BFBA" w14:textId="77777777" w:rsidTr="00AD6EA4">
        <w:trPr>
          <w:trHeight w:val="339"/>
          <w:jc w:val="center"/>
        </w:trPr>
        <w:tc>
          <w:tcPr>
            <w:tcW w:w="8720" w:type="dxa"/>
            <w:tcBorders>
              <w:top w:val="single" w:sz="4" w:space="0" w:color="808080"/>
              <w:left w:val="single" w:sz="4" w:space="0" w:color="808080"/>
              <w:bottom w:val="single" w:sz="4" w:space="0" w:color="808080"/>
              <w:right w:val="single" w:sz="4" w:space="0" w:color="808080"/>
            </w:tcBorders>
            <w:shd w:val="clear" w:color="000000" w:fill="F5F5F5"/>
            <w:vAlign w:val="center"/>
            <w:hideMark/>
          </w:tcPr>
          <w:p w14:paraId="135C2833" w14:textId="77777777" w:rsidR="00AD6EA4" w:rsidRPr="00AD6EA4" w:rsidRDefault="00AD6EA4" w:rsidP="00AD6EA4">
            <w:pPr>
              <w:spacing w:after="0" w:line="240" w:lineRule="auto"/>
              <w:jc w:val="center"/>
              <w:rPr>
                <w:rFonts w:ascii="Helvetica" w:eastAsia="Times New Roman" w:hAnsi="Helvetica" w:cs="Helvetica"/>
                <w:b/>
                <w:bCs/>
                <w:color w:val="000000"/>
              </w:rPr>
            </w:pPr>
            <w:r w:rsidRPr="00AD6EA4">
              <w:rPr>
                <w:rFonts w:ascii="Helvetica" w:eastAsia="Times New Roman" w:hAnsi="Helvetica" w:cs="Helvetica"/>
                <w:b/>
                <w:bCs/>
                <w:color w:val="000000"/>
              </w:rPr>
              <w:t>Characteristics</w:t>
            </w:r>
          </w:p>
        </w:tc>
        <w:tc>
          <w:tcPr>
            <w:tcW w:w="1880" w:type="dxa"/>
            <w:tcBorders>
              <w:top w:val="single" w:sz="4" w:space="0" w:color="808080"/>
              <w:left w:val="nil"/>
              <w:bottom w:val="single" w:sz="4" w:space="0" w:color="808080"/>
              <w:right w:val="single" w:sz="4" w:space="0" w:color="808080"/>
            </w:tcBorders>
            <w:shd w:val="clear" w:color="000000" w:fill="F5F5F5"/>
            <w:vAlign w:val="bottom"/>
            <w:hideMark/>
          </w:tcPr>
          <w:p w14:paraId="517EEE17" w14:textId="77777777" w:rsidR="00AD6EA4" w:rsidRPr="00AD6EA4" w:rsidRDefault="00AD6EA4" w:rsidP="00AD6EA4">
            <w:pPr>
              <w:spacing w:after="0" w:line="240" w:lineRule="auto"/>
              <w:jc w:val="center"/>
              <w:rPr>
                <w:rFonts w:ascii="Helvetica" w:eastAsia="Times New Roman" w:hAnsi="Helvetica" w:cs="Helvetica"/>
                <w:b/>
                <w:bCs/>
                <w:color w:val="000000"/>
              </w:rPr>
            </w:pPr>
            <w:r w:rsidRPr="00AD6EA4">
              <w:rPr>
                <w:rFonts w:ascii="Helvetica" w:eastAsia="Times New Roman" w:hAnsi="Helvetica" w:cs="Helvetica"/>
                <w:b/>
                <w:bCs/>
                <w:color w:val="000000"/>
              </w:rPr>
              <w:t>Estimate</w:t>
            </w:r>
          </w:p>
        </w:tc>
      </w:tr>
      <w:tr w:rsidR="00AD6EA4" w:rsidRPr="00AD6EA4" w14:paraId="2BC7BFE3" w14:textId="77777777" w:rsidTr="00AD6EA4">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1F47EE1B" w14:textId="77777777" w:rsidR="00AD6EA4" w:rsidRPr="00AD6EA4" w:rsidRDefault="00AD6EA4" w:rsidP="00AD6EA4">
            <w:pPr>
              <w:spacing w:after="0" w:line="240" w:lineRule="auto"/>
              <w:rPr>
                <w:rFonts w:ascii="Helvetica" w:eastAsia="Times New Roman" w:hAnsi="Helvetica" w:cs="Helvetica"/>
                <w:b/>
                <w:bCs/>
                <w:color w:val="000000"/>
              </w:rPr>
            </w:pPr>
            <w:r w:rsidRPr="00AD6EA4">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258649BE"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 xml:space="preserve">            </w:t>
            </w:r>
          </w:p>
        </w:tc>
      </w:tr>
      <w:tr w:rsidR="00AD6EA4" w:rsidRPr="00AD6EA4" w14:paraId="797BDA07"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9193458"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46F9D562"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 xml:space="preserve">            </w:t>
            </w:r>
          </w:p>
        </w:tc>
      </w:tr>
      <w:tr w:rsidR="00AD6EA4" w:rsidRPr="00AD6EA4" w14:paraId="399E5B46"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F683F0C"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7D47769D"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1,788.7</w:t>
            </w:r>
          </w:p>
        </w:tc>
      </w:tr>
      <w:tr w:rsidR="00AD6EA4" w:rsidRPr="00AD6EA4" w14:paraId="288B069B"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B205830"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lastRenderedPageBreak/>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72E3CF0C"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214.5</w:t>
            </w:r>
          </w:p>
        </w:tc>
      </w:tr>
      <w:tr w:rsidR="00AD6EA4" w:rsidRPr="00AD6EA4" w14:paraId="4088965D"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8893CE6"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43F24688"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217.4</w:t>
            </w:r>
          </w:p>
        </w:tc>
      </w:tr>
      <w:tr w:rsidR="00AD6EA4" w:rsidRPr="00AD6EA4" w14:paraId="10DFCEBD"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2FD4826"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59C5B5E4"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234.3</w:t>
            </w:r>
          </w:p>
        </w:tc>
      </w:tr>
      <w:tr w:rsidR="00AD6EA4" w:rsidRPr="00AD6EA4" w14:paraId="7BFC989F"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50AD324"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3B530BE8"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121.4</w:t>
            </w:r>
          </w:p>
        </w:tc>
      </w:tr>
      <w:tr w:rsidR="00AD6EA4" w:rsidRPr="00AD6EA4" w14:paraId="4B8C78C8"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47807B2"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2BCBFBED"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298.4</w:t>
            </w:r>
          </w:p>
        </w:tc>
      </w:tr>
      <w:tr w:rsidR="00AD6EA4" w:rsidRPr="00AD6EA4" w14:paraId="10A735BF"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70267A5"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624F20B9"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312.9</w:t>
            </w:r>
          </w:p>
        </w:tc>
      </w:tr>
      <w:tr w:rsidR="00AD6EA4" w:rsidRPr="00AD6EA4" w14:paraId="62F1E235"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9C5A05F"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2DA6615C"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155.2</w:t>
            </w:r>
          </w:p>
        </w:tc>
      </w:tr>
      <w:tr w:rsidR="00AD6EA4" w:rsidRPr="00AD6EA4" w14:paraId="0D141A42"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47FF8A5"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6C72D9A2"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234.6</w:t>
            </w:r>
          </w:p>
        </w:tc>
      </w:tr>
      <w:tr w:rsidR="00AD6EA4" w:rsidRPr="00AD6EA4" w14:paraId="34259CE6" w14:textId="77777777" w:rsidTr="00AD6EA4">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74019EF" w14:textId="77777777" w:rsidR="00AD6EA4" w:rsidRPr="00AD6EA4" w:rsidRDefault="00AD6EA4" w:rsidP="00AD6EA4">
            <w:pPr>
              <w:spacing w:after="0" w:line="240" w:lineRule="auto"/>
              <w:rPr>
                <w:rFonts w:ascii="Helvetica" w:eastAsia="Times New Roman" w:hAnsi="Helvetica" w:cs="Helvetica"/>
                <w:b/>
                <w:bCs/>
                <w:color w:val="000000"/>
              </w:rPr>
            </w:pPr>
            <w:r w:rsidRPr="00AD6EA4">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512FDC5C"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190.0</w:t>
            </w:r>
          </w:p>
        </w:tc>
      </w:tr>
      <w:tr w:rsidR="00AD6EA4" w:rsidRPr="00AD6EA4" w14:paraId="434F64D0" w14:textId="77777777" w:rsidTr="00AD6EA4">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200F77A" w14:textId="77777777" w:rsidR="00AD6EA4" w:rsidRPr="00AD6EA4" w:rsidRDefault="00AD6EA4" w:rsidP="00AD6EA4">
            <w:pPr>
              <w:spacing w:after="0" w:line="240" w:lineRule="auto"/>
              <w:rPr>
                <w:rFonts w:ascii="Helvetica" w:eastAsia="Times New Roman" w:hAnsi="Helvetica" w:cs="Helvetica"/>
                <w:b/>
                <w:bCs/>
                <w:color w:val="000000"/>
              </w:rPr>
            </w:pPr>
            <w:r w:rsidRPr="00AD6EA4">
              <w:rPr>
                <w:rFonts w:ascii="Helvetica" w:eastAsia="Times New Roman" w:hAnsi="Helvetica" w:cs="Helvetica"/>
                <w:b/>
                <w:bCs/>
                <w:color w:val="000000"/>
              </w:rPr>
              <w:t>Mean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1A22C795"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304.6</w:t>
            </w:r>
          </w:p>
        </w:tc>
      </w:tr>
      <w:tr w:rsidR="00AD6EA4" w:rsidRPr="00AD6EA4" w14:paraId="1A7411E7"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7DB568E"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14945B02"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 xml:space="preserve">            </w:t>
            </w:r>
          </w:p>
        </w:tc>
      </w:tr>
      <w:tr w:rsidR="00AD6EA4" w:rsidRPr="00AD6EA4" w14:paraId="74E96EFD" w14:textId="77777777" w:rsidTr="00AD6EA4">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71DF8AE7" w14:textId="77777777" w:rsidR="00AD6EA4" w:rsidRPr="00AD6EA4" w:rsidRDefault="00AD6EA4" w:rsidP="00AD6EA4">
            <w:pPr>
              <w:spacing w:after="0" w:line="240" w:lineRule="auto"/>
              <w:rPr>
                <w:rFonts w:ascii="Helvetica" w:eastAsia="Times New Roman" w:hAnsi="Helvetica" w:cs="Helvetica"/>
                <w:b/>
                <w:bCs/>
                <w:color w:val="000000"/>
              </w:rPr>
            </w:pPr>
            <w:r w:rsidRPr="00AD6EA4">
              <w:rPr>
                <w:rFonts w:ascii="Helvetica" w:eastAsia="Times New Roman" w:hAnsi="Helvetica" w:cs="Helvetica"/>
                <w:b/>
                <w:bCs/>
                <w:color w:val="000000"/>
              </w:rPr>
              <w:t>Monthly Cost Paid for Lot/Land Rent                          </w:t>
            </w:r>
          </w:p>
        </w:tc>
        <w:tc>
          <w:tcPr>
            <w:tcW w:w="1880" w:type="dxa"/>
            <w:tcBorders>
              <w:top w:val="nil"/>
              <w:left w:val="nil"/>
              <w:bottom w:val="single" w:sz="4" w:space="0" w:color="808080"/>
              <w:right w:val="single" w:sz="4" w:space="0" w:color="808080"/>
            </w:tcBorders>
            <w:shd w:val="clear" w:color="000000" w:fill="FFFFFF"/>
            <w:vAlign w:val="bottom"/>
            <w:hideMark/>
          </w:tcPr>
          <w:p w14:paraId="27E0C4C5"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 xml:space="preserve">            </w:t>
            </w:r>
          </w:p>
        </w:tc>
      </w:tr>
      <w:tr w:rsidR="00AD6EA4" w:rsidRPr="00AD6EA4" w14:paraId="35BE1A16"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A53CD4E"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3BF80AAB"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 xml:space="preserve">            </w:t>
            </w:r>
          </w:p>
        </w:tc>
      </w:tr>
      <w:tr w:rsidR="00AD6EA4" w:rsidRPr="00AD6EA4" w14:paraId="2A0A2256"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8FBA145"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      Fee paid by occupants                                  </w:t>
            </w:r>
          </w:p>
        </w:tc>
        <w:tc>
          <w:tcPr>
            <w:tcW w:w="1880" w:type="dxa"/>
            <w:tcBorders>
              <w:top w:val="nil"/>
              <w:left w:val="nil"/>
              <w:bottom w:val="single" w:sz="4" w:space="0" w:color="808080"/>
              <w:right w:val="single" w:sz="4" w:space="0" w:color="808080"/>
            </w:tcBorders>
            <w:shd w:val="clear" w:color="000000" w:fill="FFFFFF"/>
            <w:vAlign w:val="bottom"/>
            <w:hideMark/>
          </w:tcPr>
          <w:p w14:paraId="4866C7C1"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315.3</w:t>
            </w:r>
          </w:p>
        </w:tc>
      </w:tr>
      <w:tr w:rsidR="00AD6EA4" w:rsidRPr="00AD6EA4" w14:paraId="6BE2DF68"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1D4144F"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Less than $100                                               </w:t>
            </w:r>
          </w:p>
        </w:tc>
        <w:tc>
          <w:tcPr>
            <w:tcW w:w="1880" w:type="dxa"/>
            <w:tcBorders>
              <w:top w:val="nil"/>
              <w:left w:val="nil"/>
              <w:bottom w:val="single" w:sz="4" w:space="0" w:color="808080"/>
              <w:right w:val="single" w:sz="4" w:space="0" w:color="808080"/>
            </w:tcBorders>
            <w:shd w:val="clear" w:color="000000" w:fill="FFFFFF"/>
            <w:vAlign w:val="bottom"/>
            <w:hideMark/>
          </w:tcPr>
          <w:p w14:paraId="201BF717"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 xml:space="preserve">           S</w:t>
            </w:r>
          </w:p>
        </w:tc>
      </w:tr>
      <w:tr w:rsidR="00AD6EA4" w:rsidRPr="00AD6EA4" w14:paraId="3E29F3DB"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9A17F81"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$100 to $199                                                 </w:t>
            </w:r>
          </w:p>
        </w:tc>
        <w:tc>
          <w:tcPr>
            <w:tcW w:w="1880" w:type="dxa"/>
            <w:tcBorders>
              <w:top w:val="nil"/>
              <w:left w:val="nil"/>
              <w:bottom w:val="single" w:sz="4" w:space="0" w:color="808080"/>
              <w:right w:val="single" w:sz="4" w:space="0" w:color="808080"/>
            </w:tcBorders>
            <w:shd w:val="clear" w:color="000000" w:fill="FFFFFF"/>
            <w:vAlign w:val="bottom"/>
            <w:hideMark/>
          </w:tcPr>
          <w:p w14:paraId="43A57944"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 xml:space="preserve">           S</w:t>
            </w:r>
          </w:p>
        </w:tc>
      </w:tr>
      <w:tr w:rsidR="00AD6EA4" w:rsidRPr="00AD6EA4" w14:paraId="7DB3F1AE"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A7CDD57"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53444911"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6.3</w:t>
            </w:r>
          </w:p>
        </w:tc>
      </w:tr>
      <w:tr w:rsidR="00AD6EA4" w:rsidRPr="00AD6EA4" w14:paraId="6422B4AB"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B4B9E9D"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1F10D75C"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38.1</w:t>
            </w:r>
          </w:p>
        </w:tc>
      </w:tr>
      <w:tr w:rsidR="00AD6EA4" w:rsidRPr="00AD6EA4" w14:paraId="3E9030F4"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279F291"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3B5B747A"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222.3</w:t>
            </w:r>
          </w:p>
        </w:tc>
      </w:tr>
      <w:tr w:rsidR="00AD6EA4" w:rsidRPr="00AD6EA4" w14:paraId="603CF904" w14:textId="77777777" w:rsidTr="00AD6EA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CB2E92B" w14:textId="77777777" w:rsidR="00AD6EA4" w:rsidRPr="00AD6EA4" w:rsidRDefault="00AD6EA4" w:rsidP="00AD6EA4">
            <w:pPr>
              <w:spacing w:after="0" w:line="240" w:lineRule="auto"/>
              <w:rPr>
                <w:rFonts w:ascii="Helvetica" w:eastAsia="Times New Roman" w:hAnsi="Helvetica" w:cs="Helvetica"/>
                <w:color w:val="000000"/>
              </w:rPr>
            </w:pPr>
            <w:r w:rsidRPr="00AD6EA4">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36A7D902"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40.2</w:t>
            </w:r>
          </w:p>
        </w:tc>
      </w:tr>
      <w:tr w:rsidR="00AD6EA4" w:rsidRPr="00AD6EA4" w14:paraId="1047C68B" w14:textId="77777777" w:rsidTr="00AD6EA4">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E29FFBF" w14:textId="77777777" w:rsidR="00AD6EA4" w:rsidRPr="00AD6EA4" w:rsidRDefault="00AD6EA4" w:rsidP="00AD6EA4">
            <w:pPr>
              <w:spacing w:after="0" w:line="240" w:lineRule="auto"/>
              <w:rPr>
                <w:rFonts w:ascii="Helvetica" w:eastAsia="Times New Roman" w:hAnsi="Helvetica" w:cs="Helvetica"/>
                <w:b/>
                <w:bCs/>
                <w:color w:val="000000"/>
              </w:rPr>
            </w:pPr>
            <w:r w:rsidRPr="00AD6EA4">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4C450E70"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700.0</w:t>
            </w:r>
          </w:p>
        </w:tc>
      </w:tr>
      <w:tr w:rsidR="00AD6EA4" w:rsidRPr="00AD6EA4" w14:paraId="03C0E428" w14:textId="77777777" w:rsidTr="003E073C">
        <w:trPr>
          <w:trHeight w:val="339"/>
          <w:jc w:val="center"/>
        </w:trPr>
        <w:tc>
          <w:tcPr>
            <w:tcW w:w="8720" w:type="dxa"/>
            <w:tcBorders>
              <w:top w:val="nil"/>
              <w:left w:val="single" w:sz="4" w:space="0" w:color="808080"/>
              <w:bottom w:val="single" w:sz="4" w:space="0" w:color="auto"/>
              <w:right w:val="single" w:sz="4" w:space="0" w:color="808080"/>
            </w:tcBorders>
            <w:shd w:val="clear" w:color="000000" w:fill="FFFFFF"/>
            <w:hideMark/>
          </w:tcPr>
          <w:p w14:paraId="2C986C88" w14:textId="77777777" w:rsidR="00AD6EA4" w:rsidRPr="00AD6EA4" w:rsidRDefault="00AD6EA4" w:rsidP="00AD6EA4">
            <w:pPr>
              <w:spacing w:after="0" w:line="240" w:lineRule="auto"/>
              <w:rPr>
                <w:rFonts w:ascii="Helvetica" w:eastAsia="Times New Roman" w:hAnsi="Helvetica" w:cs="Helvetica"/>
                <w:b/>
                <w:bCs/>
                <w:color w:val="000000"/>
              </w:rPr>
            </w:pPr>
            <w:r w:rsidRPr="00AD6EA4">
              <w:rPr>
                <w:rFonts w:ascii="Helvetica" w:eastAsia="Times New Roman" w:hAnsi="Helvetica" w:cs="Helvetica"/>
                <w:b/>
                <w:bCs/>
                <w:color w:val="000000"/>
              </w:rPr>
              <w:t>Mean (dollars)                                               </w:t>
            </w:r>
          </w:p>
        </w:tc>
        <w:tc>
          <w:tcPr>
            <w:tcW w:w="1880" w:type="dxa"/>
            <w:tcBorders>
              <w:top w:val="nil"/>
              <w:left w:val="nil"/>
              <w:bottom w:val="single" w:sz="4" w:space="0" w:color="auto"/>
              <w:right w:val="single" w:sz="4" w:space="0" w:color="808080"/>
            </w:tcBorders>
            <w:shd w:val="clear" w:color="000000" w:fill="FFFFFF"/>
            <w:vAlign w:val="bottom"/>
            <w:hideMark/>
          </w:tcPr>
          <w:p w14:paraId="6E88736C" w14:textId="77777777" w:rsidR="00AD6EA4" w:rsidRPr="00AD6EA4" w:rsidRDefault="00AD6EA4" w:rsidP="00AD6EA4">
            <w:pPr>
              <w:spacing w:after="0" w:line="240" w:lineRule="auto"/>
              <w:jc w:val="right"/>
              <w:rPr>
                <w:rFonts w:ascii="Helvetica" w:eastAsia="Times New Roman" w:hAnsi="Helvetica" w:cs="Helvetica"/>
                <w:color w:val="000000"/>
              </w:rPr>
            </w:pPr>
            <w:r w:rsidRPr="00AD6EA4">
              <w:rPr>
                <w:rFonts w:ascii="Helvetica" w:eastAsia="Times New Roman" w:hAnsi="Helvetica" w:cs="Helvetica"/>
                <w:color w:val="000000"/>
              </w:rPr>
              <w:t>978.1</w:t>
            </w:r>
          </w:p>
        </w:tc>
      </w:tr>
    </w:tbl>
    <w:p w14:paraId="59CD9A15" w14:textId="33F01879" w:rsidR="001E7264" w:rsidRDefault="001E7264" w:rsidP="004B62A3">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71495D" w:rsidRPr="0071495D" w14:paraId="4F6585BC" w14:textId="77777777" w:rsidTr="0071495D">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104C04EC" w14:textId="77777777" w:rsidR="0071495D" w:rsidRPr="0071495D" w:rsidRDefault="0071495D" w:rsidP="0071495D">
            <w:pPr>
              <w:spacing w:after="0" w:line="240" w:lineRule="auto"/>
              <w:jc w:val="center"/>
              <w:rPr>
                <w:rFonts w:ascii="Helvetica" w:eastAsia="Times New Roman" w:hAnsi="Helvetica" w:cs="Helvetica"/>
                <w:color w:val="000000"/>
                <w:sz w:val="25"/>
                <w:szCs w:val="25"/>
              </w:rPr>
            </w:pPr>
            <w:r w:rsidRPr="0071495D">
              <w:rPr>
                <w:rFonts w:ascii="Helvetica" w:eastAsia="Times New Roman" w:hAnsi="Helvetica" w:cs="Helvetica"/>
                <w:color w:val="000000"/>
                <w:sz w:val="25"/>
                <w:szCs w:val="25"/>
              </w:rPr>
              <w:t xml:space="preserve">2019 Los Angeles-Long Beach - Housing Costs - All Occupied Units    </w:t>
            </w:r>
            <w:r w:rsidRPr="0071495D">
              <w:rPr>
                <w:rFonts w:ascii="Helvetica" w:eastAsia="Times New Roman" w:hAnsi="Helvetica" w:cs="Helvetica"/>
                <w:color w:val="000000"/>
                <w:sz w:val="25"/>
                <w:szCs w:val="25"/>
              </w:rPr>
              <w:br/>
              <w:t>Los Angeles-Long Beach-Anaheim, CA MSA (2013 OMB definition)</w:t>
            </w:r>
          </w:p>
        </w:tc>
      </w:tr>
      <w:tr w:rsidR="0071495D" w:rsidRPr="0071495D" w14:paraId="1519E783" w14:textId="77777777" w:rsidTr="0071495D">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04C85963" w14:textId="77777777" w:rsidR="0071495D" w:rsidRPr="0071495D" w:rsidRDefault="0071495D" w:rsidP="0071495D">
            <w:pPr>
              <w:spacing w:after="0" w:line="240" w:lineRule="auto"/>
              <w:rPr>
                <w:rFonts w:ascii="Helvetica" w:eastAsia="Times New Roman" w:hAnsi="Helvetica" w:cs="Helvetica"/>
                <w:b/>
                <w:bCs/>
                <w:color w:val="000000"/>
                <w:sz w:val="16"/>
                <w:szCs w:val="16"/>
              </w:rPr>
            </w:pPr>
            <w:r w:rsidRPr="0071495D">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71495D" w:rsidRPr="0071495D" w14:paraId="4AF4AD5E" w14:textId="77777777" w:rsidTr="0071495D">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1DD33714" w14:textId="77777777" w:rsidR="0071495D" w:rsidRPr="0071495D" w:rsidRDefault="005F6A39" w:rsidP="0071495D">
            <w:pPr>
              <w:spacing w:after="0" w:line="240" w:lineRule="auto"/>
              <w:jc w:val="center"/>
              <w:rPr>
                <w:rFonts w:ascii="Helvetica" w:eastAsia="Times New Roman" w:hAnsi="Helvetica" w:cs="Helvetica"/>
                <w:b/>
                <w:bCs/>
                <w:color w:val="0000FF"/>
                <w:sz w:val="18"/>
                <w:szCs w:val="18"/>
                <w:u w:val="single"/>
              </w:rPr>
            </w:pPr>
            <w:hyperlink r:id="rId12" w:history="1">
              <w:r w:rsidR="0071495D" w:rsidRPr="0071495D">
                <w:rPr>
                  <w:rFonts w:ascii="Helvetica" w:eastAsia="Times New Roman" w:hAnsi="Helvetica" w:cs="Helvetica"/>
                  <w:b/>
                  <w:bCs/>
                  <w:color w:val="0000FF"/>
                  <w:sz w:val="18"/>
                  <w:szCs w:val="18"/>
                  <w:u w:val="single"/>
                </w:rPr>
                <w:t>Subject Definitions</w:t>
              </w:r>
            </w:hyperlink>
          </w:p>
        </w:tc>
      </w:tr>
      <w:tr w:rsidR="0071495D" w:rsidRPr="0071495D" w14:paraId="7FCD7F4B" w14:textId="77777777" w:rsidTr="0071495D">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27ABC458"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03982B9B"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 </w:t>
            </w:r>
          </w:p>
        </w:tc>
      </w:tr>
      <w:tr w:rsidR="0071495D" w:rsidRPr="0071495D" w14:paraId="0F365EC6" w14:textId="77777777" w:rsidTr="0071495D">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099963F9" w14:textId="77777777" w:rsidR="0071495D" w:rsidRPr="0071495D" w:rsidRDefault="0071495D" w:rsidP="0071495D">
            <w:pPr>
              <w:spacing w:after="0" w:line="240" w:lineRule="auto"/>
              <w:jc w:val="center"/>
              <w:rPr>
                <w:rFonts w:ascii="Helvetica" w:eastAsia="Times New Roman" w:hAnsi="Helvetica" w:cs="Helvetica"/>
                <w:b/>
                <w:bCs/>
                <w:color w:val="000000"/>
              </w:rPr>
            </w:pPr>
            <w:r w:rsidRPr="0071495D">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5C9D0785" w14:textId="77777777" w:rsidR="0071495D" w:rsidRPr="0071495D" w:rsidRDefault="0071495D" w:rsidP="0071495D">
            <w:pPr>
              <w:spacing w:after="0" w:line="240" w:lineRule="auto"/>
              <w:jc w:val="center"/>
              <w:rPr>
                <w:rFonts w:ascii="Helvetica" w:eastAsia="Times New Roman" w:hAnsi="Helvetica" w:cs="Helvetica"/>
                <w:b/>
                <w:bCs/>
                <w:color w:val="000000"/>
              </w:rPr>
            </w:pPr>
            <w:r w:rsidRPr="0071495D">
              <w:rPr>
                <w:rFonts w:ascii="Helvetica" w:eastAsia="Times New Roman" w:hAnsi="Helvetica" w:cs="Helvetica"/>
                <w:b/>
                <w:bCs/>
                <w:color w:val="000000"/>
              </w:rPr>
              <w:t>Estimate</w:t>
            </w:r>
          </w:p>
        </w:tc>
      </w:tr>
      <w:tr w:rsidR="0071495D" w:rsidRPr="0071495D" w14:paraId="7C60AACF" w14:textId="77777777" w:rsidTr="0071495D">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33DE8329" w14:textId="77777777" w:rsidR="0071495D" w:rsidRPr="0071495D" w:rsidRDefault="0071495D" w:rsidP="0071495D">
            <w:pPr>
              <w:spacing w:after="0" w:line="240" w:lineRule="auto"/>
              <w:rPr>
                <w:rFonts w:ascii="Helvetica" w:eastAsia="Times New Roman" w:hAnsi="Helvetica" w:cs="Helvetica"/>
                <w:b/>
                <w:bCs/>
                <w:color w:val="000000"/>
              </w:rPr>
            </w:pPr>
            <w:r w:rsidRPr="0071495D">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7A5A7C54"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 xml:space="preserve">            </w:t>
            </w:r>
          </w:p>
        </w:tc>
      </w:tr>
      <w:tr w:rsidR="0071495D" w:rsidRPr="0071495D" w14:paraId="535348DA"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385B0A0"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5AD5B37A"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 xml:space="preserve">            </w:t>
            </w:r>
          </w:p>
        </w:tc>
      </w:tr>
      <w:tr w:rsidR="0071495D" w:rsidRPr="0071495D" w14:paraId="3AD8972C"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D1EC4DD"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60731AD0"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528.5</w:t>
            </w:r>
          </w:p>
        </w:tc>
      </w:tr>
      <w:tr w:rsidR="0071495D" w:rsidRPr="0071495D" w14:paraId="4DF9DE96"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22C4542"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lastRenderedPageBreak/>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1769B964"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34.8</w:t>
            </w:r>
          </w:p>
        </w:tc>
      </w:tr>
      <w:tr w:rsidR="0071495D" w:rsidRPr="0071495D" w14:paraId="42DBA2CB"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5DCEF3F"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07D2F3B2"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46.2</w:t>
            </w:r>
          </w:p>
        </w:tc>
      </w:tr>
      <w:tr w:rsidR="0071495D" w:rsidRPr="0071495D" w14:paraId="726D739D"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F01293F"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6A985E7B"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54.9</w:t>
            </w:r>
          </w:p>
        </w:tc>
      </w:tr>
      <w:tr w:rsidR="0071495D" w:rsidRPr="0071495D" w14:paraId="516621D2"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BF9538E"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570762CC"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51.9</w:t>
            </w:r>
          </w:p>
        </w:tc>
      </w:tr>
      <w:tr w:rsidR="0071495D" w:rsidRPr="0071495D" w14:paraId="37FEBCC7"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62C5CD7"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7EF27EFD"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102.3</w:t>
            </w:r>
          </w:p>
        </w:tc>
      </w:tr>
      <w:tr w:rsidR="0071495D" w:rsidRPr="0071495D" w14:paraId="19054670"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29CE45A"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17F1242B"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116.8</w:t>
            </w:r>
          </w:p>
        </w:tc>
      </w:tr>
      <w:tr w:rsidR="0071495D" w:rsidRPr="0071495D" w14:paraId="6E8DA541"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A6BEEBB"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19B2770B"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63.0</w:t>
            </w:r>
          </w:p>
        </w:tc>
      </w:tr>
      <w:tr w:rsidR="0071495D" w:rsidRPr="0071495D" w14:paraId="09769721" w14:textId="77777777" w:rsidTr="0071495D">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B099AA9" w14:textId="77777777" w:rsidR="0071495D" w:rsidRPr="0071495D" w:rsidRDefault="0071495D" w:rsidP="0071495D">
            <w:pPr>
              <w:spacing w:after="0" w:line="240" w:lineRule="auto"/>
              <w:rPr>
                <w:rFonts w:ascii="Helvetica" w:eastAsia="Times New Roman" w:hAnsi="Helvetica" w:cs="Helvetica"/>
                <w:color w:val="000000"/>
              </w:rPr>
            </w:pPr>
            <w:r w:rsidRPr="0071495D">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4A7F1C89"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58.5</w:t>
            </w:r>
          </w:p>
        </w:tc>
      </w:tr>
      <w:tr w:rsidR="0071495D" w:rsidRPr="0071495D" w14:paraId="4E8FA966" w14:textId="77777777" w:rsidTr="0071495D">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5907AEC" w14:textId="77777777" w:rsidR="0071495D" w:rsidRPr="0071495D" w:rsidRDefault="0071495D" w:rsidP="0071495D">
            <w:pPr>
              <w:spacing w:after="0" w:line="240" w:lineRule="auto"/>
              <w:rPr>
                <w:rFonts w:ascii="Helvetica" w:eastAsia="Times New Roman" w:hAnsi="Helvetica" w:cs="Helvetica"/>
                <w:b/>
                <w:bCs/>
                <w:color w:val="000000"/>
              </w:rPr>
            </w:pPr>
            <w:r w:rsidRPr="0071495D">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32C87079"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230.0</w:t>
            </w:r>
          </w:p>
        </w:tc>
      </w:tr>
      <w:tr w:rsidR="0071495D" w:rsidRPr="0071495D" w14:paraId="5CCCF02B" w14:textId="77777777" w:rsidTr="0071495D">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86286EB" w14:textId="77777777" w:rsidR="0071495D" w:rsidRPr="0071495D" w:rsidRDefault="0071495D" w:rsidP="0071495D">
            <w:pPr>
              <w:spacing w:after="0" w:line="240" w:lineRule="auto"/>
              <w:rPr>
                <w:rFonts w:ascii="Helvetica" w:eastAsia="Times New Roman" w:hAnsi="Helvetica" w:cs="Helvetica"/>
                <w:b/>
                <w:bCs/>
                <w:color w:val="000000"/>
              </w:rPr>
            </w:pPr>
            <w:r w:rsidRPr="0071495D">
              <w:rPr>
                <w:rFonts w:ascii="Helvetica" w:eastAsia="Times New Roman" w:hAnsi="Helvetica" w:cs="Helvetica"/>
                <w:b/>
                <w:bCs/>
                <w:color w:val="000000"/>
              </w:rPr>
              <w:t>Mean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76DECF8B" w14:textId="77777777" w:rsidR="0071495D" w:rsidRPr="0071495D" w:rsidRDefault="0071495D" w:rsidP="0071495D">
            <w:pPr>
              <w:spacing w:after="0" w:line="240" w:lineRule="auto"/>
              <w:jc w:val="right"/>
              <w:rPr>
                <w:rFonts w:ascii="Helvetica" w:eastAsia="Times New Roman" w:hAnsi="Helvetica" w:cs="Helvetica"/>
                <w:color w:val="000000"/>
              </w:rPr>
            </w:pPr>
            <w:r w:rsidRPr="0071495D">
              <w:rPr>
                <w:rFonts w:ascii="Helvetica" w:eastAsia="Times New Roman" w:hAnsi="Helvetica" w:cs="Helvetica"/>
                <w:color w:val="000000"/>
              </w:rPr>
              <w:t>366.3</w:t>
            </w:r>
          </w:p>
        </w:tc>
      </w:tr>
    </w:tbl>
    <w:p w14:paraId="1CE7A603" w14:textId="7DD88293" w:rsidR="00AD6EA4" w:rsidRDefault="00AD6EA4" w:rsidP="004B62A3">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09136C" w:rsidRPr="0009136C" w14:paraId="13ACD7AD" w14:textId="77777777" w:rsidTr="0009136C">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472C9069" w14:textId="77777777" w:rsidR="0009136C" w:rsidRPr="0009136C" w:rsidRDefault="0009136C" w:rsidP="0009136C">
            <w:pPr>
              <w:spacing w:after="0" w:line="240" w:lineRule="auto"/>
              <w:jc w:val="center"/>
              <w:rPr>
                <w:rFonts w:ascii="Helvetica" w:eastAsia="Times New Roman" w:hAnsi="Helvetica" w:cs="Helvetica"/>
                <w:color w:val="000000"/>
                <w:sz w:val="25"/>
                <w:szCs w:val="25"/>
              </w:rPr>
            </w:pPr>
            <w:r w:rsidRPr="0009136C">
              <w:rPr>
                <w:rFonts w:ascii="Helvetica" w:eastAsia="Times New Roman" w:hAnsi="Helvetica" w:cs="Helvetica"/>
                <w:color w:val="000000"/>
                <w:sz w:val="25"/>
                <w:szCs w:val="25"/>
              </w:rPr>
              <w:t xml:space="preserve">2019 San Francisco - Housing Costs - All Occupied Units    </w:t>
            </w:r>
            <w:r w:rsidRPr="0009136C">
              <w:rPr>
                <w:rFonts w:ascii="Helvetica" w:eastAsia="Times New Roman" w:hAnsi="Helvetica" w:cs="Helvetica"/>
                <w:color w:val="000000"/>
                <w:sz w:val="25"/>
                <w:szCs w:val="25"/>
              </w:rPr>
              <w:br/>
              <w:t>San Francisco-Oakland-Hayward, CA MSA (2013 OMB definition)</w:t>
            </w:r>
          </w:p>
        </w:tc>
      </w:tr>
      <w:tr w:rsidR="0009136C" w:rsidRPr="0009136C" w14:paraId="2ADB2A9E" w14:textId="77777777" w:rsidTr="0009136C">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8DABEEB" w14:textId="77777777" w:rsidR="0009136C" w:rsidRPr="0009136C" w:rsidRDefault="0009136C" w:rsidP="0009136C">
            <w:pPr>
              <w:spacing w:after="0" w:line="240" w:lineRule="auto"/>
              <w:rPr>
                <w:rFonts w:ascii="Helvetica" w:eastAsia="Times New Roman" w:hAnsi="Helvetica" w:cs="Helvetica"/>
                <w:b/>
                <w:bCs/>
                <w:color w:val="000000"/>
                <w:sz w:val="16"/>
                <w:szCs w:val="16"/>
              </w:rPr>
            </w:pPr>
            <w:r w:rsidRPr="0009136C">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09136C" w:rsidRPr="0009136C" w14:paraId="2C83C5F5" w14:textId="77777777" w:rsidTr="0009136C">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4FEC2CB" w14:textId="77777777" w:rsidR="0009136C" w:rsidRPr="0009136C" w:rsidRDefault="005F6A39" w:rsidP="0009136C">
            <w:pPr>
              <w:spacing w:after="0" w:line="240" w:lineRule="auto"/>
              <w:jc w:val="center"/>
              <w:rPr>
                <w:rFonts w:ascii="Helvetica" w:eastAsia="Times New Roman" w:hAnsi="Helvetica" w:cs="Helvetica"/>
                <w:b/>
                <w:bCs/>
                <w:color w:val="0000FF"/>
                <w:sz w:val="18"/>
                <w:szCs w:val="18"/>
                <w:u w:val="single"/>
              </w:rPr>
            </w:pPr>
            <w:hyperlink r:id="rId13" w:history="1">
              <w:r w:rsidR="0009136C" w:rsidRPr="0009136C">
                <w:rPr>
                  <w:rFonts w:ascii="Helvetica" w:eastAsia="Times New Roman" w:hAnsi="Helvetica" w:cs="Helvetica"/>
                  <w:b/>
                  <w:bCs/>
                  <w:color w:val="0000FF"/>
                  <w:sz w:val="18"/>
                  <w:szCs w:val="18"/>
                  <w:u w:val="single"/>
                </w:rPr>
                <w:t>Subject Definitions</w:t>
              </w:r>
            </w:hyperlink>
          </w:p>
        </w:tc>
      </w:tr>
      <w:tr w:rsidR="0009136C" w:rsidRPr="0009136C" w14:paraId="2B65CAC4" w14:textId="77777777" w:rsidTr="0009136C">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564E042C"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0A02E05B"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 </w:t>
            </w:r>
          </w:p>
        </w:tc>
      </w:tr>
      <w:tr w:rsidR="0009136C" w:rsidRPr="0009136C" w14:paraId="7F2C6B18" w14:textId="77777777" w:rsidTr="0009136C">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7B209485" w14:textId="77777777" w:rsidR="0009136C" w:rsidRPr="0009136C" w:rsidRDefault="0009136C" w:rsidP="0009136C">
            <w:pPr>
              <w:spacing w:after="0" w:line="240" w:lineRule="auto"/>
              <w:jc w:val="center"/>
              <w:rPr>
                <w:rFonts w:ascii="Helvetica" w:eastAsia="Times New Roman" w:hAnsi="Helvetica" w:cs="Helvetica"/>
                <w:b/>
                <w:bCs/>
                <w:color w:val="000000"/>
              </w:rPr>
            </w:pPr>
            <w:r w:rsidRPr="0009136C">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2BEEB1EC" w14:textId="77777777" w:rsidR="0009136C" w:rsidRPr="0009136C" w:rsidRDefault="0009136C" w:rsidP="0009136C">
            <w:pPr>
              <w:spacing w:after="0" w:line="240" w:lineRule="auto"/>
              <w:jc w:val="center"/>
              <w:rPr>
                <w:rFonts w:ascii="Helvetica" w:eastAsia="Times New Roman" w:hAnsi="Helvetica" w:cs="Helvetica"/>
                <w:b/>
                <w:bCs/>
                <w:color w:val="000000"/>
              </w:rPr>
            </w:pPr>
            <w:r w:rsidRPr="0009136C">
              <w:rPr>
                <w:rFonts w:ascii="Helvetica" w:eastAsia="Times New Roman" w:hAnsi="Helvetica" w:cs="Helvetica"/>
                <w:b/>
                <w:bCs/>
                <w:color w:val="000000"/>
              </w:rPr>
              <w:t>Estimate</w:t>
            </w:r>
          </w:p>
        </w:tc>
      </w:tr>
      <w:tr w:rsidR="0009136C" w:rsidRPr="0009136C" w14:paraId="6172E545" w14:textId="77777777" w:rsidTr="0009136C">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6615790B" w14:textId="77777777" w:rsidR="0009136C" w:rsidRPr="0009136C" w:rsidRDefault="0009136C" w:rsidP="0009136C">
            <w:pPr>
              <w:spacing w:after="0" w:line="240" w:lineRule="auto"/>
              <w:rPr>
                <w:rFonts w:ascii="Helvetica" w:eastAsia="Times New Roman" w:hAnsi="Helvetica" w:cs="Helvetica"/>
                <w:b/>
                <w:bCs/>
                <w:color w:val="000000"/>
              </w:rPr>
            </w:pPr>
            <w:r w:rsidRPr="0009136C">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60D1889D"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 xml:space="preserve">            </w:t>
            </w:r>
          </w:p>
        </w:tc>
      </w:tr>
      <w:tr w:rsidR="0009136C" w:rsidRPr="0009136C" w14:paraId="5CF4E4D2"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FD27A09"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18A06950"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 xml:space="preserve">            </w:t>
            </w:r>
          </w:p>
        </w:tc>
      </w:tr>
      <w:tr w:rsidR="0009136C" w:rsidRPr="0009136C" w14:paraId="075720AA"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9FB466C"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77C979EB"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271.2</w:t>
            </w:r>
          </w:p>
        </w:tc>
      </w:tr>
      <w:tr w:rsidR="0009136C" w:rsidRPr="0009136C" w14:paraId="2A77223C"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48CC9A3"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18204EAE"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41.4</w:t>
            </w:r>
          </w:p>
        </w:tc>
      </w:tr>
      <w:tr w:rsidR="0009136C" w:rsidRPr="0009136C" w14:paraId="12097A0C"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769140A"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55329EF8"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19.1</w:t>
            </w:r>
          </w:p>
        </w:tc>
      </w:tr>
      <w:tr w:rsidR="0009136C" w:rsidRPr="0009136C" w14:paraId="543360DD"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09BCBB2"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43E21B05"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17.9</w:t>
            </w:r>
          </w:p>
        </w:tc>
      </w:tr>
      <w:tr w:rsidR="0009136C" w:rsidRPr="0009136C" w14:paraId="7068F1CB"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217D427"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7732BC26"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18.5</w:t>
            </w:r>
          </w:p>
        </w:tc>
      </w:tr>
      <w:tr w:rsidR="0009136C" w:rsidRPr="0009136C" w14:paraId="68BD9075"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510D97C"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72740A57"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25.5</w:t>
            </w:r>
          </w:p>
        </w:tc>
      </w:tr>
      <w:tr w:rsidR="0009136C" w:rsidRPr="0009136C" w14:paraId="0876C86B"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B5BC539"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1AAA0B0E"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66.9</w:t>
            </w:r>
          </w:p>
        </w:tc>
      </w:tr>
      <w:tr w:rsidR="0009136C" w:rsidRPr="0009136C" w14:paraId="4CB28CE5"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FF36A6A"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48465187"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49.4</w:t>
            </w:r>
          </w:p>
        </w:tc>
      </w:tr>
      <w:tr w:rsidR="0009136C" w:rsidRPr="0009136C" w14:paraId="553A62D2" w14:textId="77777777" w:rsidTr="0009136C">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8D419C2" w14:textId="77777777" w:rsidR="0009136C" w:rsidRPr="0009136C" w:rsidRDefault="0009136C" w:rsidP="0009136C">
            <w:pPr>
              <w:spacing w:after="0" w:line="240" w:lineRule="auto"/>
              <w:rPr>
                <w:rFonts w:ascii="Helvetica" w:eastAsia="Times New Roman" w:hAnsi="Helvetica" w:cs="Helvetica"/>
                <w:color w:val="000000"/>
              </w:rPr>
            </w:pPr>
            <w:r w:rsidRPr="0009136C">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7BED2F3E"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32.5</w:t>
            </w:r>
          </w:p>
        </w:tc>
      </w:tr>
      <w:tr w:rsidR="0009136C" w:rsidRPr="0009136C" w14:paraId="606417E9" w14:textId="77777777" w:rsidTr="0009136C">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BEDF186" w14:textId="77777777" w:rsidR="0009136C" w:rsidRPr="0009136C" w:rsidRDefault="0009136C" w:rsidP="0009136C">
            <w:pPr>
              <w:spacing w:after="0" w:line="240" w:lineRule="auto"/>
              <w:rPr>
                <w:rFonts w:ascii="Helvetica" w:eastAsia="Times New Roman" w:hAnsi="Helvetica" w:cs="Helvetica"/>
                <w:b/>
                <w:bCs/>
                <w:color w:val="000000"/>
              </w:rPr>
            </w:pPr>
            <w:r w:rsidRPr="0009136C">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3257765A"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291.0</w:t>
            </w:r>
          </w:p>
        </w:tc>
      </w:tr>
      <w:tr w:rsidR="0009136C" w:rsidRPr="0009136C" w14:paraId="4E389CE5" w14:textId="77777777" w:rsidTr="0009136C">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AF62ED7" w14:textId="77777777" w:rsidR="0009136C" w:rsidRPr="0009136C" w:rsidRDefault="0009136C" w:rsidP="0009136C">
            <w:pPr>
              <w:spacing w:after="0" w:line="240" w:lineRule="auto"/>
              <w:rPr>
                <w:rFonts w:ascii="Helvetica" w:eastAsia="Times New Roman" w:hAnsi="Helvetica" w:cs="Helvetica"/>
                <w:b/>
                <w:bCs/>
                <w:color w:val="000000"/>
              </w:rPr>
            </w:pPr>
            <w:r w:rsidRPr="0009136C">
              <w:rPr>
                <w:rFonts w:ascii="Helvetica" w:eastAsia="Times New Roman" w:hAnsi="Helvetica" w:cs="Helvetica"/>
                <w:b/>
                <w:bCs/>
                <w:color w:val="000000"/>
              </w:rPr>
              <w:t>Mean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516FEF35" w14:textId="77777777" w:rsidR="0009136C" w:rsidRPr="0009136C" w:rsidRDefault="0009136C" w:rsidP="0009136C">
            <w:pPr>
              <w:spacing w:after="0" w:line="240" w:lineRule="auto"/>
              <w:jc w:val="right"/>
              <w:rPr>
                <w:rFonts w:ascii="Helvetica" w:eastAsia="Times New Roman" w:hAnsi="Helvetica" w:cs="Helvetica"/>
                <w:color w:val="000000"/>
              </w:rPr>
            </w:pPr>
            <w:r w:rsidRPr="0009136C">
              <w:rPr>
                <w:rFonts w:ascii="Helvetica" w:eastAsia="Times New Roman" w:hAnsi="Helvetica" w:cs="Helvetica"/>
                <w:color w:val="000000"/>
              </w:rPr>
              <w:t>390.4</w:t>
            </w:r>
          </w:p>
        </w:tc>
      </w:tr>
    </w:tbl>
    <w:p w14:paraId="76163829" w14:textId="77777777" w:rsidR="00AD6EA4" w:rsidRDefault="00AD6EA4" w:rsidP="004B62A3">
      <w:pPr>
        <w:rPr>
          <w:rFonts w:ascii="Times New Roman" w:hAnsi="Times New Roman" w:cs="Times New Roman"/>
          <w:sz w:val="24"/>
          <w:szCs w:val="24"/>
        </w:rPr>
      </w:pPr>
    </w:p>
    <w:sectPr w:rsidR="00AD6EA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969618866"/>
  </wne:recipientData>
  <wne:recipientData>
    <wne:active wne:val="1"/>
    <wne:hash wne:val="-2003654536"/>
  </wne:recipientData>
  <wne:recipientData>
    <wne:active wne:val="1"/>
    <wne:hash wne:val="-1689572019"/>
  </wne:recipientData>
  <wne:recipientData>
    <wne:active wne:val="1"/>
    <wne:hash wne:val="806921049"/>
  </wne:recipientData>
  <wne:recipientData>
    <wne:active wne:val="1"/>
    <wne:hash wne:val="1516523773"/>
  </wne:recipientData>
  <wne:recipientData>
    <wne:active wne:val="1"/>
    <wne:hash wne:val="-961121166"/>
  </wne:recipientData>
  <wne:recipientData>
    <wne:active wne:val="1"/>
    <wne:hash wne:val="-457424077"/>
  </wne:recipientData>
  <wne:recipientData>
    <wne:active wne:val="1"/>
    <wne:hash wne:val="-1451362447"/>
  </wne:recipientData>
  <wne:recipientData>
    <wne:active wne:val="1"/>
    <wne:hash wne:val="-1500649472"/>
  </wne:recipientData>
  <wne:recipientData>
    <wne:active wne:val="1"/>
    <wne:hash wne:val="-1691101958"/>
  </wne:recipientData>
  <wne:recipientData>
    <wne:active wne:val="1"/>
    <wne:hash wne:val="1156458754"/>
  </wne:recipientData>
  <wne:recipientData>
    <wne:active wne:val="1"/>
    <wne:hash wne:val="615817346"/>
  </wne:recipientData>
  <wne:recipientData>
    <wne:active wne:val="1"/>
    <wne:hash wne:val="-830263992"/>
  </wne:recipientData>
  <wne:recipientData>
    <wne:active wne:val="1"/>
    <wne:hash wne:val="-1112722288"/>
  </wne:recipientData>
  <wne:recipientData>
    <wne:active wne:val="1"/>
    <wne:hash wne:val="1057670472"/>
  </wne:recipientData>
  <wne:recipientData>
    <wne:active wne:val="1"/>
    <wne:hash wne:val="-374324989"/>
  </wne:recipientData>
  <wne:recipientData>
    <wne:active wne:val="1"/>
    <wne:hash wne:val="690936799"/>
  </wne:recipientData>
  <wne:recipientData>
    <wne:active wne:val="1"/>
    <wne:hash wne:val="-756106732"/>
  </wne:recipientData>
  <wne:recipientData>
    <wne:active wne:val="1"/>
    <wne:hash wne:val="-1475376038"/>
  </wne:recipientData>
  <wne:recipientData>
    <wne:active wne:val="1"/>
    <wne:hash wne:val="1355497386"/>
  </wne:recipientData>
  <wne:recipientData>
    <wne:active wne:val="1"/>
    <wne:hash wne:val="-1527005947"/>
  </wne:recipientData>
  <wne:recipientData>
    <wne:active wne:val="1"/>
    <wne:hash wne:val="-1488450763"/>
  </wne:recipientData>
  <wne:recipientData>
    <wne:active wne:val="1"/>
    <wne:hash wne:val="-14149032"/>
  </wne:recipientData>
  <wne:recipientData>
    <wne:active wne:val="1"/>
    <wne:hash wne:val="-1324662863"/>
  </wne:recipientData>
  <wne:recipientData>
    <wne:active wne:val="1"/>
    <wne:hash wne:val="-32344702"/>
  </wne:recipientData>
  <wne:recipientData>
    <wne:active wne:val="1"/>
    <wne:hash wne:val="-542971465"/>
  </wne:recipientData>
  <wne:recipientData>
    <wne:active wne:val="1"/>
    <wne:hash wne:val="-1056093692"/>
  </wne:recipientData>
  <wne:recipientData>
    <wne:active wne:val="1"/>
    <wne:hash wne:val="1321637344"/>
  </wne:recipientData>
  <wne:recipientData>
    <wne:active wne:val="1"/>
    <wne:hash wne:val="-1722084044"/>
  </wne:recipientData>
  <wne:recipientData>
    <wne:active wne:val="1"/>
    <wne:hash wne:val="-1628579501"/>
  </wne:recipientData>
  <wne:recipientData>
    <wne:active wne:val="1"/>
    <wne:hash wne:val="529072862"/>
  </wne:recipientData>
  <wne:recipientData>
    <wne:active wne:val="1"/>
    <wne:hash wne:val="490033917"/>
  </wne:recipientData>
  <wne:recipientData>
    <wne:active wne:val="1"/>
    <wne:hash wne:val="857256030"/>
  </wne:recipientData>
  <wne:recipientData>
    <wne:active wne:val="1"/>
    <wne:hash wne:val="-744714959"/>
  </wne:recipientData>
  <wne:recipientData>
    <wne:active wne:val="1"/>
    <wne:hash wne:val="1991986864"/>
  </wne:recipientData>
  <wne:recipientData>
    <wne:active wne:val="1"/>
    <wne:hash wne:val="957223434"/>
  </wne:recipientData>
  <wne:recipientData>
    <wne:active wne:val="1"/>
    <wne:hash wne:val="499045511"/>
  </wne:recipientData>
  <wne:recipientData>
    <wne:active wne:val="1"/>
    <wne:hash wne:val="1760082332"/>
  </wne:recipientData>
  <wne:recipientData>
    <wne:active wne:val="1"/>
    <wne:hash wne:val="1683467447"/>
  </wne:recipientData>
  <wne:recipientData>
    <wne:active wne:val="1"/>
    <wne:hash wne:val="-1306808446"/>
  </wne:recipientData>
  <wne:recipientData>
    <wne:active wne:val="1"/>
    <wne:hash wne:val="-252947166"/>
  </wne:recipientData>
  <wne:recipientData>
    <wne:active wne:val="1"/>
    <wne:hash wne:val="-599123873"/>
  </wne:recipientData>
  <wne:recipientData>
    <wne:active wne:val="1"/>
    <wne:hash wne:val="1221689398"/>
  </wne:recipientData>
  <wne:recipientData>
    <wne:active wne:val="1"/>
    <wne:hash wne:val="-55331428"/>
  </wne:recipientData>
  <wne:recipientData>
    <wne:active wne:val="1"/>
    <wne:hash wne:val="1014065991"/>
  </wne:recipientData>
  <wne:recipientData>
    <wne:active wne:val="1"/>
    <wne:hash wne:val="-1234187748"/>
  </wne:recipientData>
  <wne:recipientData>
    <wne:active wne:val="1"/>
    <wne:hash wne:val="-1620915698"/>
  </wne:recipientData>
  <wne:recipientData>
    <wne:active wne:val="1"/>
    <wne:hash wne:val="-15311348"/>
  </wne:recipientData>
  <wne:recipientData>
    <wne:active wne:val="1"/>
    <wne:hash wne:val="1936365536"/>
  </wne:recipientData>
  <wne:recipientData>
    <wne:active wne:val="1"/>
    <wne:hash wne:val="1522895753"/>
  </wne:recipientData>
  <wne:recipientData>
    <wne:active wne:val="1"/>
    <wne:hash wne:val="-529923613"/>
  </wne:recipientData>
  <wne:recipientData>
    <wne:active wne:val="1"/>
    <wne:hash wne:val="-1934122786"/>
  </wne:recipientData>
  <wne:recipientData>
    <wne:active wne:val="1"/>
    <wne:hash wne:val="-1403164835"/>
  </wne:recipientData>
  <wne:recipientData>
    <wne:active wne:val="1"/>
    <wne:hash wne:val="1623647814"/>
  </wne:recipientData>
  <wne:recipientData>
    <wne:active wne:val="1"/>
    <wne:hash wne:val="-529923613"/>
  </wne:recipientData>
  <wne:recipientData>
    <wne:active wne:val="1"/>
    <wne:hash wne:val="113159961"/>
  </wne:recipientData>
  <wne:recipientData>
    <wne:active wne:val="1"/>
    <wne:hash wne:val="380387698"/>
  </wne:recipientData>
  <wne:recipientData>
    <wne:active wne:val="1"/>
    <wne:hash wne:val="833577965"/>
  </wne:recipientData>
  <wne:recipientData>
    <wne:active wne:val="1"/>
    <wne:hash wne:val="1156064962"/>
  </wne:recipientData>
  <wne:recipientData>
    <wne:active wne:val="1"/>
    <wne:hash wne:val="796949293"/>
  </wne:recipientData>
  <wne:recipientData>
    <wne:active wne:val="1"/>
    <wne:hash wne:val="-1377380636"/>
  </wne:recipientData>
  <wne:recipientData>
    <wne:active wne:val="1"/>
    <wne:hash wne:val="459132925"/>
  </wne:recipientData>
  <wne:recipientData>
    <wne:active wne:val="1"/>
    <wne:hash wne:val="1937552819"/>
  </wne:recipientData>
  <wne:recipientData>
    <wne:active wne:val="1"/>
    <wne:hash wne:val="-30443022"/>
  </wne:recipientData>
  <wne:recipientData>
    <wne:active wne:val="1"/>
    <wne:hash wne:val="-719965238"/>
  </wne:recipientData>
  <wne:recipientData>
    <wne:active wne:val="1"/>
    <wne:hash wne:val="-676328703"/>
  </wne:recipientData>
  <wne:recipientData>
    <wne:active wne:val="1"/>
    <wne:hash wne:val="236758337"/>
  </wne:recipientData>
  <wne:recipientData>
    <wne:active wne:val="1"/>
    <wne:hash wne:val="1336735040"/>
  </wne:recipientData>
  <wne:recipientData>
    <wne:active wne:val="1"/>
    <wne:hash wne:val="706684442"/>
  </wne:recipientData>
  <wne:recipientData>
    <wne:active wne:val="1"/>
    <wne:hash wne:val="1387224387"/>
  </wne:recipientData>
  <wne:recipientData>
    <wne:active wne:val="1"/>
    <wne:hash wne:val="-2109985928"/>
  </wne:recipientData>
  <wne:recipientData>
    <wne:active wne:val="1"/>
    <wne:hash wne:val="2034918890"/>
  </wne:recipientData>
  <wne:recipientData>
    <wne:active wne:val="1"/>
    <wne:hash wne:val="-1178922425"/>
  </wne:recipientData>
  <wne:recipientData>
    <wne:active wne:val="1"/>
    <wne:hash wne:val="713402116"/>
  </wne:recipientData>
  <wne:recipientData>
    <wne:active wne:val="1"/>
    <wne:hash wne:val="1387224387"/>
  </wne:recipientData>
  <wne:recipientData>
    <wne:active wne:val="1"/>
    <wne:hash wne:val="-1710122556"/>
  </wne:recipientData>
  <wne:recipientData>
    <wne:active wne:val="1"/>
    <wne:hash wne:val="1208766610"/>
  </wne:recipientData>
  <wne:recipientData>
    <wne:active wne:val="1"/>
    <wne:hash wne:val="1116110448"/>
  </wne:recipientData>
  <wne:recipientData>
    <wne:active wne:val="1"/>
    <wne:hash wne:val="1842756633"/>
  </wne:recipientData>
  <wne:recipientData>
    <wne:active wne:val="1"/>
    <wne:hash wne:val="1434202146"/>
  </wne:recipientData>
  <wne:recipientData>
    <wne:active wne:val="1"/>
    <wne:hash wne:val="1387224387"/>
  </wne:recipientData>
  <wne:recipientData>
    <wne:active wne:val="1"/>
    <wne:hash wne:val="2071122337"/>
  </wne:recipientData>
  <wne:recipientData>
    <wne:active wne:val="1"/>
    <wne:hash wne:val="1554810516"/>
  </wne:recipientData>
  <wne:recipientData>
    <wne:active wne:val="1"/>
    <wne:hash wne:val="-2062985013"/>
  </wne:recipientData>
  <wne:recipientData>
    <wne:active wne:val="1"/>
    <wne:hash wne:val="-1273870368"/>
  </wne:recipientData>
  <wne:recipientData>
    <wne:active wne:val="1"/>
    <wne:hash wne:val="792765175"/>
  </wne:recipientData>
  <wne:recipientData>
    <wne:active wne:val="1"/>
    <wne:hash wne:val="-268998361"/>
  </wne:recipientData>
  <wne:recipientData>
    <wne:active wne:val="1"/>
    <wne:hash wne:val="-1818365620"/>
  </wne:recipientData>
  <wne:recipientData>
    <wne:active wne:val="1"/>
    <wne:hash wne:val="-54922474"/>
  </wne:recipientData>
  <wne:recipientData>
    <wne:active wne:val="1"/>
    <wne:hash wne:val="32"/>
  </wne:recipientData>
  <wne:recipientData>
    <wne:active wne:val="1"/>
    <wne:hash wne:val="191770523"/>
  </wne:recipientData>
  <wne:recipientData>
    <wne:active wne:val="1"/>
    <wne:hash wne:val="63594419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H:\AH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tro areas$'` "/>
    <w:dataSource r:id="rId1"/>
    <w:odso>
      <w:udl w:val="Provider=Microsoft.ACE.OLEDB.12.0;User ID=Admin;Data Source=H:\AH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tro areas$'"/>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30D01"/>
    <w:rsid w:val="0009136C"/>
    <w:rsid w:val="000A131D"/>
    <w:rsid w:val="000B0E6E"/>
    <w:rsid w:val="001132C3"/>
    <w:rsid w:val="001218F3"/>
    <w:rsid w:val="00146EC0"/>
    <w:rsid w:val="0019525D"/>
    <w:rsid w:val="001E7264"/>
    <w:rsid w:val="00215622"/>
    <w:rsid w:val="00216B2B"/>
    <w:rsid w:val="00235C5B"/>
    <w:rsid w:val="002456A5"/>
    <w:rsid w:val="00271749"/>
    <w:rsid w:val="00304724"/>
    <w:rsid w:val="00315098"/>
    <w:rsid w:val="00340F05"/>
    <w:rsid w:val="00367C1D"/>
    <w:rsid w:val="00375442"/>
    <w:rsid w:val="003A35B0"/>
    <w:rsid w:val="003C6EED"/>
    <w:rsid w:val="003D123D"/>
    <w:rsid w:val="003E073C"/>
    <w:rsid w:val="003F109A"/>
    <w:rsid w:val="003F3CFC"/>
    <w:rsid w:val="0040729F"/>
    <w:rsid w:val="004366BF"/>
    <w:rsid w:val="004829A2"/>
    <w:rsid w:val="00487583"/>
    <w:rsid w:val="004B62A3"/>
    <w:rsid w:val="004C6951"/>
    <w:rsid w:val="004E0E32"/>
    <w:rsid w:val="004E6E89"/>
    <w:rsid w:val="004F7E98"/>
    <w:rsid w:val="00503859"/>
    <w:rsid w:val="00511108"/>
    <w:rsid w:val="00533353"/>
    <w:rsid w:val="005538ED"/>
    <w:rsid w:val="00581DF4"/>
    <w:rsid w:val="00591DA5"/>
    <w:rsid w:val="005C7C39"/>
    <w:rsid w:val="005D6101"/>
    <w:rsid w:val="005F6A39"/>
    <w:rsid w:val="0060714A"/>
    <w:rsid w:val="006455A7"/>
    <w:rsid w:val="006C4FFB"/>
    <w:rsid w:val="0071495D"/>
    <w:rsid w:val="00770B76"/>
    <w:rsid w:val="007847A3"/>
    <w:rsid w:val="00792C21"/>
    <w:rsid w:val="00815AC2"/>
    <w:rsid w:val="00831EB1"/>
    <w:rsid w:val="00851A4C"/>
    <w:rsid w:val="00890732"/>
    <w:rsid w:val="00903481"/>
    <w:rsid w:val="00911E55"/>
    <w:rsid w:val="00941376"/>
    <w:rsid w:val="00954AB8"/>
    <w:rsid w:val="0095544E"/>
    <w:rsid w:val="00972C43"/>
    <w:rsid w:val="00A339C9"/>
    <w:rsid w:val="00AD6EA4"/>
    <w:rsid w:val="00AE318C"/>
    <w:rsid w:val="00B204AA"/>
    <w:rsid w:val="00C01368"/>
    <w:rsid w:val="00C054A0"/>
    <w:rsid w:val="00C161B4"/>
    <w:rsid w:val="00C16D3F"/>
    <w:rsid w:val="00C5123C"/>
    <w:rsid w:val="00CF0644"/>
    <w:rsid w:val="00D16F2E"/>
    <w:rsid w:val="00D17D60"/>
    <w:rsid w:val="00D3448B"/>
    <w:rsid w:val="00D70F9E"/>
    <w:rsid w:val="00E1278B"/>
    <w:rsid w:val="00E12C2F"/>
    <w:rsid w:val="00E71630"/>
    <w:rsid w:val="00EC6F64"/>
    <w:rsid w:val="00ED2ED3"/>
    <w:rsid w:val="00ED52BE"/>
    <w:rsid w:val="00EE5F8F"/>
    <w:rsid w:val="00EE7579"/>
    <w:rsid w:val="00F44EAA"/>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33738041">
      <w:bodyDiv w:val="1"/>
      <w:marLeft w:val="0"/>
      <w:marRight w:val="0"/>
      <w:marTop w:val="0"/>
      <w:marBottom w:val="0"/>
      <w:divBdr>
        <w:top w:val="none" w:sz="0" w:space="0" w:color="auto"/>
        <w:left w:val="none" w:sz="0" w:space="0" w:color="auto"/>
        <w:bottom w:val="none" w:sz="0" w:space="0" w:color="auto"/>
        <w:right w:val="none" w:sz="0" w:space="0" w:color="auto"/>
      </w:divBdr>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programs-surveys/ahs/tech-documentation/def-errors-changes.201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H:\AHS%20DATA.xlsx" TargetMode="External"/><Relationship Id="rId1" Type="http://schemas.openxmlformats.org/officeDocument/2006/relationships/mailMergeSource" Target="file:///H:\AHS%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2.xml><?xml version="1.0" encoding="utf-8"?>
<ds:datastoreItem xmlns:ds="http://schemas.openxmlformats.org/officeDocument/2006/customXml" ds:itemID="{6AB2A183-7DC5-4C3C-86EB-A9F7A84A2C3B}"/>
</file>

<file path=customXml/itemProps3.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8</cp:revision>
  <dcterms:created xsi:type="dcterms:W3CDTF">2022-01-21T18:58:00Z</dcterms:created>
  <dcterms:modified xsi:type="dcterms:W3CDTF">2022-02-01T19:37:00Z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